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027" w:rsidRDefault="003A4F71" w:rsidP="00B10027">
      <w:pPr>
        <w:suppressLineNumbers/>
        <w:spacing w:after="0" w:line="240" w:lineRule="auto"/>
        <w:rPr>
          <w:rFonts w:ascii="Times New Roman" w:eastAsia="Times New Roman" w:hAnsi="Times New Roman" w:cs="David"/>
          <w:noProof/>
          <w:sz w:val="24"/>
          <w:szCs w:val="24"/>
          <w:rtl/>
        </w:rPr>
      </w:pPr>
      <w:bookmarkStart w:id="0" w:name="_GoBack"/>
      <w:bookmarkEnd w:id="0"/>
      <w:r>
        <w:rPr>
          <w:rFonts w:ascii="Times New Roman" w:eastAsia="Times New Roman" w:hAnsi="Times New Roman" w:cs="David"/>
          <w:noProof/>
          <w:sz w:val="24"/>
          <w:szCs w:val="24"/>
          <w:rtl/>
        </w:rPr>
        <w:tab/>
      </w:r>
      <w:r>
        <w:rPr>
          <w:rFonts w:ascii="Times New Roman" w:eastAsia="Times New Roman" w:hAnsi="Times New Roman" w:cs="David"/>
          <w:noProof/>
          <w:sz w:val="24"/>
          <w:szCs w:val="24"/>
          <w:rtl/>
        </w:rPr>
        <w:tab/>
      </w:r>
    </w:p>
    <w:tbl>
      <w:tblPr>
        <w:bidiVisual/>
        <w:tblW w:w="0" w:type="auto"/>
        <w:jc w:val="center"/>
        <w:tblLook w:val="04A0" w:firstRow="1" w:lastRow="0" w:firstColumn="1" w:lastColumn="0" w:noHBand="0" w:noVBand="1"/>
      </w:tblPr>
      <w:tblGrid>
        <w:gridCol w:w="3511"/>
        <w:gridCol w:w="4795"/>
      </w:tblGrid>
      <w:tr w:rsidR="00B10027" w:rsidRPr="00B10027" w:rsidTr="0017596D">
        <w:trPr>
          <w:gridAfter w:val="1"/>
          <w:wAfter w:w="4792" w:type="dxa"/>
          <w:trHeight w:val="337"/>
          <w:jc w:val="center"/>
        </w:trPr>
        <w:tc>
          <w:tcPr>
            <w:tcW w:w="3674" w:type="dxa"/>
            <w:hideMark/>
          </w:tcPr>
          <w:p w:rsidR="00B10027" w:rsidRPr="00B10027" w:rsidRDefault="00B10027" w:rsidP="00B10027">
            <w:pPr>
              <w:tabs>
                <w:tab w:val="center" w:pos="4153"/>
                <w:tab w:val="right" w:pos="8306"/>
              </w:tabs>
              <w:spacing w:after="0" w:line="240" w:lineRule="auto"/>
              <w:ind w:left="1440"/>
              <w:jc w:val="right"/>
              <w:rPr>
                <w:rFonts w:ascii="Times New Roman" w:eastAsia="Times New Roman" w:hAnsi="Times New Roman" w:cs="David"/>
                <w:noProof/>
                <w:sz w:val="24"/>
                <w:szCs w:val="24"/>
                <w:rtl/>
              </w:rPr>
            </w:pPr>
          </w:p>
        </w:tc>
      </w:tr>
      <w:tr w:rsidR="00B10027" w:rsidRPr="00B10027" w:rsidTr="0017596D">
        <w:trPr>
          <w:trHeight w:val="337"/>
          <w:jc w:val="center"/>
        </w:trPr>
        <w:tc>
          <w:tcPr>
            <w:tcW w:w="8721" w:type="dxa"/>
            <w:gridSpan w:val="2"/>
          </w:tcPr>
          <w:p w:rsidR="00B10027" w:rsidRPr="00B10027" w:rsidRDefault="00823931" w:rsidP="00B10027">
            <w:pPr>
              <w:spacing w:after="0" w:line="240" w:lineRule="auto"/>
              <w:rPr>
                <w:rFonts w:ascii="Times New Roman" w:eastAsia="Times New Roman" w:hAnsi="Times New Roman" w:cs="David"/>
                <w:b/>
                <w:bCs/>
                <w:sz w:val="28"/>
                <w:szCs w:val="28"/>
                <w:rtl/>
              </w:rPr>
            </w:pPr>
            <w:sdt>
              <w:sdtPr>
                <w:rPr>
                  <w:rFonts w:ascii="Times New Roman" w:eastAsia="Times New Roman" w:hAnsi="Times New Roman" w:cs="David"/>
                  <w:b/>
                  <w:bCs/>
                  <w:noProof/>
                  <w:sz w:val="26"/>
                  <w:szCs w:val="26"/>
                  <w:rtl/>
                </w:rPr>
                <w:alias w:val="1170"/>
                <w:tag w:val="1170"/>
                <w:id w:val="289245976"/>
                <w:text w:multiLine="1"/>
              </w:sdtPr>
              <w:sdtEndPr/>
              <w:sdtContent>
                <w:r w:rsidR="00B10027" w:rsidRPr="00B10027">
                  <w:rPr>
                    <w:rFonts w:ascii="Times New Roman" w:eastAsia="Times New Roman" w:hAnsi="Times New Roman" w:cs="David"/>
                    <w:b/>
                    <w:bCs/>
                    <w:noProof/>
                    <w:sz w:val="26"/>
                    <w:szCs w:val="26"/>
                    <w:rtl/>
                  </w:rPr>
                  <w:t>פק"ח</w:t>
                </w:r>
              </w:sdtContent>
            </w:sdt>
            <w:r w:rsidR="00B10027" w:rsidRPr="00B10027">
              <w:rPr>
                <w:rFonts w:ascii="Times New Roman" w:eastAsia="Times New Roman" w:hAnsi="Times New Roman" w:cs="David"/>
                <w:b/>
                <w:bCs/>
                <w:sz w:val="28"/>
                <w:szCs w:val="28"/>
                <w:rtl/>
              </w:rPr>
              <w:t xml:space="preserve"> </w:t>
            </w:r>
            <w:sdt>
              <w:sdtPr>
                <w:rPr>
                  <w:rFonts w:ascii="Times New Roman" w:eastAsia="Times New Roman" w:hAnsi="Times New Roman" w:cs="David"/>
                  <w:b/>
                  <w:bCs/>
                  <w:noProof/>
                  <w:sz w:val="26"/>
                  <w:szCs w:val="26"/>
                  <w:rtl/>
                </w:rPr>
                <w:alias w:val="1171"/>
                <w:tag w:val="1171"/>
                <w:id w:val="-2126147847"/>
                <w:text w:multiLine="1"/>
              </w:sdtPr>
              <w:sdtEndPr/>
              <w:sdtContent>
                <w:r w:rsidR="00B10027" w:rsidRPr="00B10027">
                  <w:rPr>
                    <w:rFonts w:ascii="Times New Roman" w:eastAsia="Times New Roman" w:hAnsi="Times New Roman" w:cs="David"/>
                    <w:b/>
                    <w:bCs/>
                    <w:noProof/>
                    <w:sz w:val="26"/>
                    <w:szCs w:val="26"/>
                    <w:rtl/>
                  </w:rPr>
                  <w:t>28728-01-23</w:t>
                </w:r>
              </w:sdtContent>
            </w:sdt>
            <w:r w:rsidR="00B10027" w:rsidRPr="00B10027">
              <w:rPr>
                <w:rFonts w:ascii="Times New Roman" w:eastAsia="Times New Roman" w:hAnsi="Times New Roman" w:cs="David"/>
                <w:b/>
                <w:bCs/>
                <w:sz w:val="28"/>
                <w:szCs w:val="28"/>
                <w:rtl/>
              </w:rPr>
              <w:t xml:space="preserve"> </w:t>
            </w:r>
            <w:sdt>
              <w:sdtPr>
                <w:rPr>
                  <w:rFonts w:ascii="Times New Roman" w:eastAsia="Times New Roman" w:hAnsi="Times New Roman" w:cs="David"/>
                  <w:b/>
                  <w:bCs/>
                  <w:noProof/>
                  <w:sz w:val="26"/>
                  <w:szCs w:val="26"/>
                  <w:rtl/>
                </w:rPr>
                <w:alias w:val="1172"/>
                <w:tag w:val="1172"/>
                <w:id w:val="1113333211"/>
                <w:text w:multiLine="1"/>
              </w:sdtPr>
              <w:sdtEndPr/>
              <w:sdtContent>
                <w:r w:rsidR="00B10027" w:rsidRPr="00B10027">
                  <w:rPr>
                    <w:rFonts w:ascii="Times New Roman" w:eastAsia="Times New Roman" w:hAnsi="Times New Roman" w:cs="David"/>
                    <w:b/>
                    <w:bCs/>
                    <w:noProof/>
                    <w:sz w:val="26"/>
                    <w:szCs w:val="26"/>
                    <w:rtl/>
                  </w:rPr>
                  <w:t>עיריית קרית מלאכי נ' ל</w:t>
                </w:r>
                <w:r w:rsidR="00B10027" w:rsidRPr="00B10027">
                  <w:rPr>
                    <w:rFonts w:ascii="Times New Roman" w:eastAsia="Times New Roman" w:hAnsi="Times New Roman" w:cs="David" w:hint="cs"/>
                    <w:b/>
                    <w:bCs/>
                    <w:noProof/>
                    <w:sz w:val="26"/>
                    <w:szCs w:val="26"/>
                    <w:rtl/>
                  </w:rPr>
                  <w:t>.</w:t>
                </w:r>
                <w:r w:rsidR="00B10027" w:rsidRPr="00B10027">
                  <w:rPr>
                    <w:rFonts w:ascii="Times New Roman" w:eastAsia="Times New Roman" w:hAnsi="Times New Roman" w:cs="David"/>
                    <w:b/>
                    <w:bCs/>
                    <w:noProof/>
                    <w:sz w:val="26"/>
                    <w:szCs w:val="26"/>
                    <w:rtl/>
                  </w:rPr>
                  <w:t xml:space="preserve"> ואח'</w:t>
                </w:r>
              </w:sdtContent>
            </w:sdt>
          </w:p>
          <w:p w:rsidR="00B10027" w:rsidRPr="00B10027" w:rsidRDefault="00B10027" w:rsidP="0017596D">
            <w:pPr>
              <w:spacing w:after="0" w:line="240" w:lineRule="auto"/>
              <w:rPr>
                <w:rFonts w:ascii="Times New Roman" w:eastAsia="Times New Roman" w:hAnsi="Times New Roman" w:cs="David"/>
                <w:noProof/>
                <w:sz w:val="24"/>
                <w:szCs w:val="24"/>
                <w:rtl/>
              </w:rPr>
            </w:pPr>
          </w:p>
        </w:tc>
      </w:tr>
    </w:tbl>
    <w:p w:rsidR="00A35E65" w:rsidRPr="00A35E65" w:rsidRDefault="003A4F71" w:rsidP="00B10027">
      <w:pPr>
        <w:suppressLineNumbers/>
        <w:spacing w:after="0" w:line="240" w:lineRule="auto"/>
        <w:rPr>
          <w:rFonts w:ascii="Times New Roman" w:eastAsia="Times New Roman" w:hAnsi="Times New Roman" w:cs="David"/>
          <w:b/>
          <w:bCs/>
          <w:noProof/>
          <w:sz w:val="24"/>
          <w:szCs w:val="24"/>
        </w:rPr>
      </w:pPr>
      <w:r>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Pr>
          <w:rFonts w:ascii="Times New Roman" w:eastAsia="Times New Roman" w:hAnsi="Times New Roman" w:cs="David"/>
          <w:noProof/>
          <w:sz w:val="24"/>
          <w:szCs w:val="24"/>
          <w:rtl/>
        </w:rPr>
        <w:tab/>
      </w:r>
      <w:r w:rsidR="00B10027" w:rsidRPr="00B10027">
        <w:rPr>
          <w:rFonts w:ascii="Times New Roman" w:eastAsia="Times New Roman" w:hAnsi="Times New Roman" w:cs="David"/>
          <w:b/>
          <w:bCs/>
          <w:noProof/>
          <w:sz w:val="24"/>
          <w:szCs w:val="24"/>
          <w:rtl/>
        </w:rPr>
        <w:tab/>
      </w:r>
      <w:r w:rsidR="00B10027" w:rsidRPr="00B10027">
        <w:rPr>
          <w:rFonts w:ascii="Times New Roman" w:eastAsia="Times New Roman" w:hAnsi="Times New Roman" w:cs="David" w:hint="cs"/>
          <w:b/>
          <w:bCs/>
          <w:noProof/>
          <w:sz w:val="24"/>
          <w:szCs w:val="24"/>
          <w:rtl/>
        </w:rPr>
        <w:t>14 יולי 2024</w:t>
      </w:r>
    </w:p>
    <w:tbl>
      <w:tblPr>
        <w:tblStyle w:val="a7"/>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35E65" w:rsidRPr="00A35E65" w:rsidTr="00B10027">
        <w:trPr>
          <w:jc w:val="center"/>
        </w:trPr>
        <w:tc>
          <w:tcPr>
            <w:tcW w:w="743" w:type="dxa"/>
          </w:tcPr>
          <w:p w:rsidR="00B10027" w:rsidRPr="00A35E65" w:rsidRDefault="00B10027" w:rsidP="00B10027">
            <w:pPr>
              <w:suppressLineNumbers/>
              <w:ind w:right="-295"/>
              <w:jc w:val="both"/>
              <w:rPr>
                <w:rFonts w:ascii="Arial" w:hAnsi="Arial" w:cs="David"/>
                <w:b/>
                <w:bCs/>
                <w:noProof/>
                <w:sz w:val="26"/>
                <w:szCs w:val="26"/>
                <w:rtl/>
              </w:rPr>
            </w:pPr>
          </w:p>
        </w:tc>
        <w:tc>
          <w:tcPr>
            <w:tcW w:w="8077" w:type="dxa"/>
            <w:gridSpan w:val="2"/>
          </w:tcPr>
          <w:p w:rsidR="00B10027" w:rsidRPr="00B10027" w:rsidRDefault="00B10027" w:rsidP="00A35E65">
            <w:pPr>
              <w:suppressLineNumbers/>
              <w:jc w:val="left"/>
              <w:rPr>
                <w:rFonts w:ascii="Arial" w:hAnsi="Arial" w:cs="David"/>
                <w:b/>
                <w:bCs/>
                <w:noProof/>
                <w:sz w:val="26"/>
                <w:szCs w:val="26"/>
                <w:rtl/>
              </w:rPr>
            </w:pPr>
          </w:p>
          <w:p w:rsidR="00A35E65" w:rsidRPr="00A35E65" w:rsidRDefault="00B10027" w:rsidP="00A35E65">
            <w:pPr>
              <w:suppressLineNumbers/>
              <w:jc w:val="left"/>
              <w:rPr>
                <w:rFonts w:ascii="Arial" w:hAnsi="Arial" w:cs="David"/>
                <w:b/>
                <w:bCs/>
                <w:noProof/>
                <w:sz w:val="26"/>
                <w:szCs w:val="26"/>
                <w:rtl/>
              </w:rPr>
            </w:pPr>
            <w:r w:rsidRPr="00B10027">
              <w:rPr>
                <w:rFonts w:ascii="Arial" w:hAnsi="Arial" w:cs="David" w:hint="cs"/>
                <w:b/>
                <w:bCs/>
                <w:noProof/>
                <w:sz w:val="26"/>
                <w:szCs w:val="26"/>
                <w:rtl/>
              </w:rPr>
              <w:t xml:space="preserve">בפני </w:t>
            </w:r>
            <w:r w:rsidR="00A35E65" w:rsidRPr="00A35E65">
              <w:rPr>
                <w:rFonts w:ascii="Arial" w:hAnsi="Arial" w:cs="David"/>
                <w:b/>
                <w:bCs/>
                <w:noProof/>
                <w:sz w:val="26"/>
                <w:szCs w:val="26"/>
                <w:rtl/>
              </w:rPr>
              <w:t>כבוד ה</w:t>
            </w:r>
            <w:sdt>
              <w:sdtPr>
                <w:rPr>
                  <w:rFonts w:cs="David"/>
                  <w:b/>
                  <w:bCs/>
                  <w:noProof/>
                  <w:sz w:val="26"/>
                  <w:szCs w:val="26"/>
                  <w:rtl/>
                </w:rPr>
                <w:alias w:val="1574"/>
                <w:tag w:val="1574"/>
                <w:id w:val="414602899"/>
                <w:text w:multiLine="1"/>
              </w:sdtPr>
              <w:sdtEndPr/>
              <w:sdtContent>
                <w:r w:rsidR="00A35E65" w:rsidRPr="00A35E65">
                  <w:rPr>
                    <w:rFonts w:cs="David"/>
                    <w:b/>
                    <w:bCs/>
                    <w:noProof/>
                    <w:sz w:val="26"/>
                    <w:szCs w:val="26"/>
                    <w:rtl/>
                  </w:rPr>
                  <w:t>שופטת בכירה</w:t>
                </w:r>
              </w:sdtContent>
            </w:sdt>
            <w:r w:rsidR="00A35E65" w:rsidRPr="00A35E65">
              <w:rPr>
                <w:rFonts w:ascii="Arial" w:hAnsi="Arial" w:cs="David"/>
                <w:b/>
                <w:bCs/>
                <w:noProof/>
                <w:sz w:val="26"/>
                <w:szCs w:val="26"/>
                <w:rtl/>
              </w:rPr>
              <w:t xml:space="preserve"> </w:t>
            </w:r>
            <w:sdt>
              <w:sdtPr>
                <w:rPr>
                  <w:rFonts w:cs="David"/>
                  <w:b/>
                  <w:bCs/>
                  <w:noProof/>
                  <w:sz w:val="26"/>
                  <w:szCs w:val="26"/>
                  <w:rtl/>
                </w:rPr>
                <w:alias w:val="1573"/>
                <w:tag w:val="1573"/>
                <w:id w:val="-1751030614"/>
                <w:text w:multiLine="1"/>
              </w:sdtPr>
              <w:sdtEndPr/>
              <w:sdtContent>
                <w:r w:rsidR="00A35E65" w:rsidRPr="00A35E65">
                  <w:rPr>
                    <w:rFonts w:cs="David"/>
                    <w:b/>
                    <w:bCs/>
                    <w:noProof/>
                    <w:sz w:val="26"/>
                    <w:szCs w:val="26"/>
                    <w:rtl/>
                  </w:rPr>
                  <w:t>רבקה שורץ</w:t>
                </w:r>
              </w:sdtContent>
            </w:sdt>
          </w:p>
          <w:p w:rsidR="00A35E65" w:rsidRPr="00A35E65" w:rsidRDefault="00A35E65" w:rsidP="00A35E65">
            <w:pPr>
              <w:suppressLineNumbers/>
              <w:rPr>
                <w:rFonts w:cs="David"/>
                <w:noProof/>
                <w:sz w:val="26"/>
                <w:szCs w:val="26"/>
                <w:rtl/>
              </w:rPr>
            </w:pPr>
          </w:p>
        </w:tc>
      </w:tr>
      <w:tr w:rsidR="00A35E65" w:rsidRPr="00A35E65" w:rsidTr="00A35E65">
        <w:trPr>
          <w:jc w:val="center"/>
        </w:trPr>
        <w:tc>
          <w:tcPr>
            <w:tcW w:w="3249" w:type="dxa"/>
            <w:gridSpan w:val="2"/>
          </w:tcPr>
          <w:p w:rsidR="00A35E65" w:rsidRDefault="00A35E65" w:rsidP="00A35E65">
            <w:pPr>
              <w:suppressLineNumbers/>
              <w:jc w:val="left"/>
              <w:rPr>
                <w:rFonts w:cs="David"/>
                <w:noProof/>
                <w:sz w:val="24"/>
                <w:szCs w:val="24"/>
                <w:rtl/>
              </w:rPr>
            </w:pPr>
          </w:p>
          <w:p w:rsidR="00853388" w:rsidRPr="00A35E65" w:rsidRDefault="00853388" w:rsidP="00A35E65">
            <w:pPr>
              <w:suppressLineNumbers/>
              <w:jc w:val="left"/>
              <w:rPr>
                <w:rFonts w:cs="David"/>
                <w:noProof/>
                <w:sz w:val="24"/>
                <w:szCs w:val="24"/>
              </w:rPr>
            </w:pPr>
          </w:p>
          <w:sdt>
            <w:sdtPr>
              <w:rPr>
                <w:rFonts w:cs="David"/>
                <w:noProof/>
                <w:sz w:val="24"/>
                <w:szCs w:val="24"/>
                <w:rtl/>
              </w:rPr>
              <w:alias w:val="1180"/>
              <w:tag w:val="1180"/>
              <w:id w:val="637458750"/>
              <w:text w:multiLine="1"/>
            </w:sdtPr>
            <w:sdtEndPr/>
            <w:sdtContent>
              <w:p w:rsidR="00A35E65" w:rsidRPr="00A35E65" w:rsidRDefault="00A35E65" w:rsidP="00A35E65">
                <w:pPr>
                  <w:suppressLineNumbers/>
                  <w:jc w:val="left"/>
                  <w:rPr>
                    <w:rFonts w:ascii="Arial" w:hAnsi="Arial" w:cs="David"/>
                    <w:b/>
                    <w:bCs/>
                    <w:sz w:val="26"/>
                    <w:szCs w:val="26"/>
                    <w:rtl/>
                  </w:rPr>
                </w:pPr>
                <w:r w:rsidRPr="00A35E65">
                  <w:rPr>
                    <w:rFonts w:cs="David"/>
                    <w:noProof/>
                    <w:sz w:val="24"/>
                    <w:szCs w:val="24"/>
                    <w:rtl/>
                  </w:rPr>
                  <w:t>מאשימה</w:t>
                </w:r>
              </w:p>
            </w:sdtContent>
          </w:sdt>
        </w:tc>
        <w:tc>
          <w:tcPr>
            <w:tcW w:w="5571" w:type="dxa"/>
          </w:tcPr>
          <w:p w:rsidR="00A35E65" w:rsidRPr="00A35E65" w:rsidRDefault="00A35E65" w:rsidP="00A35E65">
            <w:pPr>
              <w:suppressLineNumbers/>
              <w:jc w:val="left"/>
              <w:rPr>
                <w:rFonts w:cs="David"/>
                <w:noProof/>
                <w:sz w:val="24"/>
                <w:szCs w:val="24"/>
                <w:rtl/>
              </w:rPr>
            </w:pPr>
          </w:p>
          <w:p w:rsidR="00A35E65" w:rsidRPr="00A35E65" w:rsidRDefault="00823931" w:rsidP="00A35E65">
            <w:pPr>
              <w:suppressLineNumbers/>
              <w:jc w:val="left"/>
              <w:rPr>
                <w:rFonts w:cs="David"/>
                <w:b/>
                <w:bCs/>
                <w:sz w:val="26"/>
                <w:szCs w:val="26"/>
                <w:rtl/>
              </w:rPr>
            </w:pPr>
            <w:sdt>
              <w:sdtPr>
                <w:rPr>
                  <w:rFonts w:cs="David"/>
                  <w:b/>
                  <w:bCs/>
                  <w:noProof/>
                  <w:sz w:val="28"/>
                  <w:szCs w:val="28"/>
                  <w:rtl/>
                </w:rPr>
                <w:alias w:val="3151"/>
                <w:tag w:val="3151"/>
                <w:id w:val="1166218717"/>
                <w:placeholder>
                  <w:docPart w:val="45DD1828DDA7482AAF58D691A6814C63"/>
                </w:placeholder>
                <w:text w:multiLine="1"/>
              </w:sdtPr>
              <w:sdtEndPr/>
              <w:sdtContent>
                <w:r w:rsidR="00A35E65" w:rsidRPr="00A35E65">
                  <w:rPr>
                    <w:rFonts w:cs="David"/>
                    <w:b/>
                    <w:bCs/>
                    <w:noProof/>
                    <w:sz w:val="28"/>
                    <w:szCs w:val="28"/>
                    <w:rtl/>
                  </w:rPr>
                  <w:t>עיריית קרית מלאכי</w:t>
                </w:r>
                <w:r w:rsidR="00A35E65" w:rsidRPr="00A35E65">
                  <w:rPr>
                    <w:rFonts w:cs="David"/>
                    <w:b/>
                    <w:bCs/>
                    <w:noProof/>
                    <w:sz w:val="28"/>
                    <w:szCs w:val="28"/>
                    <w:rtl/>
                  </w:rPr>
                  <w:br/>
                  <w:t>ע"י ב"כ עו"ד עידית  יפת לוי</w:t>
                </w:r>
              </w:sdtContent>
            </w:sdt>
          </w:p>
        </w:tc>
      </w:tr>
      <w:tr w:rsidR="00A35E65" w:rsidRPr="00A35E65" w:rsidTr="00A35E65">
        <w:trPr>
          <w:jc w:val="center"/>
        </w:trPr>
        <w:tc>
          <w:tcPr>
            <w:tcW w:w="8820" w:type="dxa"/>
            <w:gridSpan w:val="3"/>
          </w:tcPr>
          <w:p w:rsidR="00A35E65" w:rsidRPr="00A35E65" w:rsidRDefault="00A35E65" w:rsidP="00A35E65">
            <w:pPr>
              <w:suppressLineNumbers/>
              <w:jc w:val="left"/>
              <w:rPr>
                <w:rFonts w:ascii="Arial" w:hAnsi="Arial" w:cs="David"/>
                <w:b/>
                <w:bCs/>
                <w:sz w:val="26"/>
                <w:szCs w:val="26"/>
                <w:rtl/>
              </w:rPr>
            </w:pPr>
            <w:r w:rsidRPr="00A35E65">
              <w:rPr>
                <w:rFonts w:ascii="Arial" w:hAnsi="Arial" w:cs="David"/>
                <w:b/>
                <w:bCs/>
                <w:sz w:val="26"/>
                <w:szCs w:val="26"/>
                <w:rtl/>
              </w:rPr>
              <w:t>נגד</w:t>
            </w:r>
          </w:p>
          <w:p w:rsidR="00A35E65" w:rsidRPr="00A35E65" w:rsidRDefault="00A35E65" w:rsidP="00A35E65">
            <w:pPr>
              <w:suppressLineNumbers/>
              <w:jc w:val="left"/>
              <w:rPr>
                <w:rFonts w:ascii="Arial" w:hAnsi="Arial" w:cs="David"/>
                <w:b/>
                <w:bCs/>
                <w:sz w:val="26"/>
                <w:szCs w:val="26"/>
                <w:rtl/>
              </w:rPr>
            </w:pPr>
          </w:p>
        </w:tc>
      </w:tr>
      <w:tr w:rsidR="00A35E65" w:rsidRPr="00A35E65" w:rsidTr="00A35E65">
        <w:trPr>
          <w:jc w:val="center"/>
        </w:trPr>
        <w:tc>
          <w:tcPr>
            <w:tcW w:w="3249" w:type="dxa"/>
            <w:gridSpan w:val="2"/>
            <w:hideMark/>
          </w:tcPr>
          <w:p w:rsidR="00A35E65" w:rsidRPr="00A35E65" w:rsidRDefault="00823931" w:rsidP="00A35E65">
            <w:pPr>
              <w:suppressLineNumbers/>
              <w:jc w:val="left"/>
              <w:rPr>
                <w:rFonts w:ascii="Arial" w:hAnsi="Arial" w:cs="David"/>
                <w:b/>
                <w:bCs/>
                <w:sz w:val="26"/>
                <w:szCs w:val="26"/>
              </w:rPr>
            </w:pPr>
            <w:sdt>
              <w:sdtPr>
                <w:rPr>
                  <w:rFonts w:cs="David"/>
                  <w:noProof/>
                  <w:sz w:val="24"/>
                  <w:szCs w:val="24"/>
                  <w:rtl/>
                </w:rPr>
                <w:alias w:val="1184"/>
                <w:tag w:val="1184"/>
                <w:id w:val="-340621022"/>
                <w:text w:multiLine="1"/>
              </w:sdtPr>
              <w:sdtEndPr/>
              <w:sdtContent>
                <w:r w:rsidR="00A35E65" w:rsidRPr="00A35E65">
                  <w:rPr>
                    <w:rFonts w:cs="David"/>
                    <w:noProof/>
                    <w:sz w:val="24"/>
                    <w:szCs w:val="24"/>
                    <w:rtl/>
                  </w:rPr>
                  <w:t>נאשמים</w:t>
                </w:r>
              </w:sdtContent>
            </w:sdt>
          </w:p>
        </w:tc>
        <w:tc>
          <w:tcPr>
            <w:tcW w:w="5571" w:type="dxa"/>
            <w:hideMark/>
          </w:tcPr>
          <w:p w:rsidR="00A35E65" w:rsidRPr="00A35E65" w:rsidRDefault="00823931" w:rsidP="00A35E65">
            <w:pPr>
              <w:suppressLineNumbers/>
              <w:jc w:val="left"/>
              <w:rPr>
                <w:rFonts w:ascii="Arial" w:hAnsi="Arial" w:cs="David"/>
                <w:b/>
                <w:bCs/>
                <w:sz w:val="26"/>
                <w:szCs w:val="26"/>
              </w:rPr>
            </w:pPr>
            <w:sdt>
              <w:sdtPr>
                <w:rPr>
                  <w:rFonts w:ascii="Arial" w:hAnsi="Arial" w:cs="David"/>
                  <w:b/>
                  <w:bCs/>
                  <w:sz w:val="26"/>
                  <w:szCs w:val="26"/>
                  <w:rtl/>
                </w:rPr>
                <w:alias w:val="1571"/>
                <w:tag w:val="1571"/>
                <w:id w:val="1028836282"/>
                <w:text w:multiLine="1"/>
              </w:sdtPr>
              <w:sdtEndPr/>
              <w:sdtContent>
                <w:r w:rsidR="00A35E65" w:rsidRPr="00A35E65">
                  <w:rPr>
                    <w:rFonts w:ascii="Arial" w:hAnsi="Arial" w:cs="David"/>
                    <w:b/>
                    <w:bCs/>
                    <w:sz w:val="26"/>
                    <w:szCs w:val="26"/>
                    <w:rtl/>
                  </w:rPr>
                  <w:t>1</w:t>
                </w:r>
              </w:sdtContent>
            </w:sdt>
            <w:r w:rsidR="00A35E65" w:rsidRPr="00A35E65">
              <w:rPr>
                <w:rFonts w:ascii="Arial" w:hAnsi="Arial" w:cs="David"/>
                <w:b/>
                <w:bCs/>
                <w:sz w:val="26"/>
                <w:szCs w:val="26"/>
                <w:rtl/>
              </w:rPr>
              <w:t xml:space="preserve">. </w:t>
            </w:r>
            <w:sdt>
              <w:sdtPr>
                <w:rPr>
                  <w:rFonts w:ascii="Arial" w:hAnsi="Arial" w:cs="David"/>
                  <w:b/>
                  <w:bCs/>
                  <w:sz w:val="26"/>
                  <w:szCs w:val="26"/>
                  <w:rtl/>
                </w:rPr>
                <w:alias w:val="3152"/>
                <w:tag w:val="3152"/>
                <w:id w:val="-1346628691"/>
                <w:placeholder>
                  <w:docPart w:val="BC67F1E58380472483F0D8FE5FE4F0CA"/>
                </w:placeholder>
                <w:text w:multiLine="1"/>
              </w:sdtPr>
              <w:sdtEndPr/>
              <w:sdtContent>
                <w:r w:rsidR="00A35E65" w:rsidRPr="00A35E65">
                  <w:rPr>
                    <w:rFonts w:ascii="Arial" w:hAnsi="Arial" w:cs="David"/>
                    <w:b/>
                    <w:bCs/>
                    <w:sz w:val="26"/>
                    <w:szCs w:val="26"/>
                    <w:rtl/>
                  </w:rPr>
                  <w:t>פלוני</w:t>
                </w:r>
              </w:sdtContent>
            </w:sdt>
          </w:p>
          <w:p w:rsidR="00A35E65" w:rsidRPr="00A35E65" w:rsidRDefault="00823931" w:rsidP="00A35E65">
            <w:pPr>
              <w:suppressLineNumbers/>
              <w:jc w:val="left"/>
              <w:rPr>
                <w:rFonts w:ascii="Arial" w:hAnsi="Arial" w:cs="David"/>
                <w:b/>
                <w:bCs/>
                <w:sz w:val="26"/>
                <w:szCs w:val="26"/>
                <w:rtl/>
              </w:rPr>
            </w:pPr>
            <w:sdt>
              <w:sdtPr>
                <w:rPr>
                  <w:rFonts w:ascii="Arial" w:hAnsi="Arial" w:cs="David"/>
                  <w:b/>
                  <w:bCs/>
                  <w:sz w:val="26"/>
                  <w:szCs w:val="26"/>
                  <w:rtl/>
                </w:rPr>
                <w:alias w:val="1571"/>
                <w:tag w:val="1571"/>
                <w:id w:val="1372642442"/>
                <w:text w:multiLine="1"/>
              </w:sdtPr>
              <w:sdtEndPr/>
              <w:sdtContent>
                <w:r w:rsidR="00A35E65" w:rsidRPr="00A35E65">
                  <w:rPr>
                    <w:rFonts w:ascii="Arial" w:hAnsi="Arial" w:cs="David"/>
                    <w:b/>
                    <w:bCs/>
                    <w:sz w:val="26"/>
                    <w:szCs w:val="26"/>
                    <w:rtl/>
                  </w:rPr>
                  <w:t>2</w:t>
                </w:r>
              </w:sdtContent>
            </w:sdt>
            <w:r w:rsidR="00A35E65" w:rsidRPr="00A35E65">
              <w:rPr>
                <w:rFonts w:ascii="Arial" w:hAnsi="Arial" w:cs="David"/>
                <w:b/>
                <w:bCs/>
                <w:sz w:val="26"/>
                <w:szCs w:val="26"/>
                <w:rtl/>
              </w:rPr>
              <w:t xml:space="preserve">. </w:t>
            </w:r>
            <w:sdt>
              <w:sdtPr>
                <w:rPr>
                  <w:rFonts w:ascii="Arial" w:hAnsi="Arial" w:cs="David"/>
                  <w:b/>
                  <w:bCs/>
                  <w:sz w:val="26"/>
                  <w:szCs w:val="26"/>
                  <w:rtl/>
                </w:rPr>
                <w:alias w:val="3152"/>
                <w:tag w:val="3152"/>
                <w:id w:val="-1454249982"/>
                <w:placeholder>
                  <w:docPart w:val="BC67F1E58380472483F0D8FE5FE4F0CA"/>
                </w:placeholder>
                <w:text w:multiLine="1"/>
              </w:sdtPr>
              <w:sdtEndPr/>
              <w:sdtContent>
                <w:r w:rsidR="00A35E65" w:rsidRPr="00A35E65">
                  <w:rPr>
                    <w:rFonts w:ascii="Arial" w:hAnsi="Arial" w:cs="David"/>
                    <w:b/>
                    <w:bCs/>
                    <w:sz w:val="26"/>
                    <w:szCs w:val="26"/>
                    <w:rtl/>
                  </w:rPr>
                  <w:t>אלמונית</w:t>
                </w:r>
              </w:sdtContent>
            </w:sdt>
          </w:p>
        </w:tc>
      </w:tr>
      <w:tr w:rsidR="00A35E65" w:rsidRPr="00A35E65" w:rsidTr="00A35E65">
        <w:trPr>
          <w:jc w:val="center"/>
        </w:trPr>
        <w:tc>
          <w:tcPr>
            <w:tcW w:w="8820" w:type="dxa"/>
            <w:gridSpan w:val="3"/>
          </w:tcPr>
          <w:p w:rsidR="00A35E65" w:rsidRPr="00A35E65" w:rsidRDefault="00A35E65" w:rsidP="00A35E65">
            <w:pPr>
              <w:suppressLineNumbers/>
              <w:jc w:val="left"/>
              <w:rPr>
                <w:rFonts w:cs="David"/>
                <w:noProof/>
                <w:sz w:val="24"/>
                <w:szCs w:val="24"/>
                <w:rtl/>
              </w:rPr>
            </w:pPr>
          </w:p>
        </w:tc>
      </w:tr>
      <w:tr w:rsidR="00A35E65" w:rsidRPr="00A35E65" w:rsidTr="00A35E65">
        <w:trPr>
          <w:jc w:val="center"/>
        </w:trPr>
        <w:tc>
          <w:tcPr>
            <w:tcW w:w="3249" w:type="dxa"/>
            <w:gridSpan w:val="2"/>
          </w:tcPr>
          <w:p w:rsidR="00A35E65" w:rsidRPr="00A35E65" w:rsidRDefault="00A35E65" w:rsidP="00A35E65">
            <w:pPr>
              <w:jc w:val="left"/>
              <w:rPr>
                <w:rFonts w:ascii="David" w:eastAsia="David" w:hAnsi="David" w:cs="David"/>
                <w:b/>
                <w:bCs/>
                <w:sz w:val="24"/>
                <w:szCs w:val="24"/>
                <w:rtl/>
              </w:rPr>
            </w:pPr>
          </w:p>
        </w:tc>
        <w:tc>
          <w:tcPr>
            <w:tcW w:w="5571" w:type="dxa"/>
            <w:hideMark/>
          </w:tcPr>
          <w:p w:rsidR="00A35E65" w:rsidRPr="00A35E65" w:rsidRDefault="00A35E65" w:rsidP="00A35E65">
            <w:pPr>
              <w:jc w:val="left"/>
              <w:rPr>
                <w:rFonts w:cs="David"/>
                <w:b/>
                <w:bCs/>
                <w:noProof/>
                <w:sz w:val="26"/>
                <w:szCs w:val="26"/>
              </w:rPr>
            </w:pPr>
            <w:r w:rsidRPr="00A35E65">
              <w:rPr>
                <w:rFonts w:cs="David"/>
                <w:b/>
                <w:bCs/>
                <w:noProof/>
                <w:sz w:val="28"/>
                <w:szCs w:val="28"/>
                <w:rtl/>
              </w:rPr>
              <w:t>ע"י ב"כ עו"ד</w:t>
            </w:r>
            <w:r w:rsidRPr="00A35E65">
              <w:rPr>
                <w:rFonts w:cs="David"/>
                <w:b/>
                <w:bCs/>
                <w:sz w:val="28"/>
                <w:szCs w:val="28"/>
                <w:rtl/>
              </w:rPr>
              <w:t xml:space="preserve"> יאיר בירן</w:t>
            </w:r>
          </w:p>
        </w:tc>
      </w:tr>
      <w:tr w:rsidR="00A35E65" w:rsidRPr="00A35E65" w:rsidTr="00A35E65">
        <w:trPr>
          <w:jc w:val="center"/>
        </w:trPr>
        <w:tc>
          <w:tcPr>
            <w:tcW w:w="8820" w:type="dxa"/>
            <w:gridSpan w:val="3"/>
          </w:tcPr>
          <w:p w:rsidR="00A35E65" w:rsidRPr="00A35E65" w:rsidRDefault="00A35E65" w:rsidP="00A35E65">
            <w:pPr>
              <w:suppressLineNumbers/>
              <w:jc w:val="left"/>
              <w:rPr>
                <w:rFonts w:ascii="Arial" w:hAnsi="Arial" w:cs="David"/>
                <w:b/>
                <w:bCs/>
                <w:sz w:val="26"/>
                <w:szCs w:val="26"/>
              </w:rPr>
            </w:pPr>
          </w:p>
        </w:tc>
      </w:tr>
    </w:tbl>
    <w:p w:rsidR="00A35E65" w:rsidRPr="00A35E65" w:rsidRDefault="00A35E65" w:rsidP="00A35E65">
      <w:pPr>
        <w:suppressLineNumbers/>
        <w:spacing w:after="0" w:line="240" w:lineRule="auto"/>
        <w:rPr>
          <w:rFonts w:ascii="Times New Roman" w:eastAsia="Times New Roman" w:hAnsi="Times New Roman" w:cs="David"/>
          <w:noProof/>
          <w:sz w:val="24"/>
          <w:szCs w:val="24"/>
          <w:rtl/>
        </w:rPr>
      </w:pPr>
    </w:p>
    <w:tbl>
      <w:tblPr>
        <w:tblStyle w:val="a7"/>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35E65" w:rsidRPr="00A35E65" w:rsidTr="00A35E65">
        <w:trPr>
          <w:jc w:val="center"/>
        </w:trPr>
        <w:tc>
          <w:tcPr>
            <w:tcW w:w="8820" w:type="dxa"/>
          </w:tcPr>
          <w:p w:rsidR="00A35E65" w:rsidRPr="00A35E65" w:rsidRDefault="00A35E65" w:rsidP="00A35E65">
            <w:pPr>
              <w:bidi w:val="0"/>
              <w:jc w:val="center"/>
              <w:rPr>
                <w:rFonts w:ascii="Arial" w:hAnsi="Arial" w:cs="David"/>
                <w:b/>
                <w:bCs/>
                <w:sz w:val="28"/>
                <w:szCs w:val="28"/>
                <w:u w:val="single"/>
                <w:rtl/>
              </w:rPr>
            </w:pPr>
            <w:r w:rsidRPr="00A35E65">
              <w:rPr>
                <w:rFonts w:ascii="Arial" w:hAnsi="Arial" w:cs="David"/>
                <w:b/>
                <w:bCs/>
                <w:sz w:val="28"/>
                <w:szCs w:val="28"/>
                <w:u w:val="single"/>
                <w:rtl/>
              </w:rPr>
              <w:t xml:space="preserve">הכרעת דין </w:t>
            </w:r>
          </w:p>
          <w:p w:rsidR="00A35E65" w:rsidRPr="00A35E65" w:rsidRDefault="00A35E65" w:rsidP="00A35E65">
            <w:pPr>
              <w:bidi w:val="0"/>
              <w:jc w:val="center"/>
              <w:rPr>
                <w:rFonts w:ascii="Arial" w:hAnsi="Arial" w:cs="David"/>
                <w:b/>
                <w:bCs/>
                <w:sz w:val="28"/>
                <w:szCs w:val="28"/>
                <w:u w:val="single"/>
              </w:rPr>
            </w:pPr>
          </w:p>
        </w:tc>
      </w:tr>
    </w:tbl>
    <w:tbl>
      <w:tblPr>
        <w:tblStyle w:val="1"/>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35E65" w:rsidRPr="00A35E65" w:rsidTr="00A35E65">
        <w:trPr>
          <w:jc w:val="center"/>
        </w:trPr>
        <w:tc>
          <w:tcPr>
            <w:tcW w:w="8820" w:type="dxa"/>
            <w:hideMark/>
          </w:tcPr>
          <w:p w:rsidR="00A35E65" w:rsidRPr="00A35E65" w:rsidRDefault="00A35E65" w:rsidP="00A35E65">
            <w:pPr>
              <w:bidi w:val="0"/>
              <w:jc w:val="center"/>
              <w:rPr>
                <w:sz w:val="24"/>
                <w:szCs w:val="24"/>
              </w:rPr>
            </w:pPr>
            <w:bookmarkStart w:id="1" w:name="NGCSBookmark"/>
            <w:bookmarkEnd w:id="1"/>
          </w:p>
        </w:tc>
      </w:tr>
    </w:tbl>
    <w:p w:rsidR="00A35E65" w:rsidRPr="00A35E65" w:rsidRDefault="00A35E65" w:rsidP="00A35E65">
      <w:pPr>
        <w:spacing w:before="240" w:after="0" w:line="360" w:lineRule="auto"/>
        <w:jc w:val="both"/>
        <w:rPr>
          <w:rFonts w:ascii="David" w:eastAsia="Times New Roman" w:hAnsi="David" w:cs="David"/>
          <w:noProof/>
          <w:sz w:val="24"/>
          <w:szCs w:val="24"/>
        </w:rPr>
      </w:pPr>
      <w:r w:rsidRPr="00A35E65">
        <w:rPr>
          <w:rFonts w:ascii="David" w:eastAsia="Times New Roman" w:hAnsi="David" w:cs="David"/>
          <w:sz w:val="24"/>
          <w:szCs w:val="24"/>
          <w:rtl/>
        </w:rPr>
        <w:t xml:space="preserve">לנאשמים מיוחסת עבירה </w:t>
      </w:r>
      <w:r w:rsidRPr="00A35E65">
        <w:rPr>
          <w:rFonts w:ascii="David" w:eastAsia="Times New Roman" w:hAnsi="David" w:cs="David"/>
          <w:noProof/>
          <w:sz w:val="24"/>
          <w:szCs w:val="24"/>
          <w:rtl/>
        </w:rPr>
        <w:t>על סעיפים 4(א) ו-4(ב) לחוק לימוד חובה, תש"ט-1949 ("</w:t>
      </w:r>
      <w:r w:rsidRPr="00A35E65">
        <w:rPr>
          <w:rFonts w:ascii="David" w:eastAsia="Times New Roman" w:hAnsi="David" w:cs="David"/>
          <w:b/>
          <w:bCs/>
          <w:noProof/>
          <w:sz w:val="24"/>
          <w:szCs w:val="24"/>
          <w:rtl/>
        </w:rPr>
        <w:t>חוק לימוד חובה</w:t>
      </w:r>
      <w:r w:rsidRPr="00A35E65">
        <w:rPr>
          <w:rFonts w:ascii="David" w:eastAsia="Times New Roman" w:hAnsi="David" w:cs="David"/>
          <w:noProof/>
          <w:sz w:val="24"/>
          <w:szCs w:val="24"/>
          <w:rtl/>
        </w:rPr>
        <w:t>")</w:t>
      </w:r>
      <w:r w:rsidRPr="00A35E65">
        <w:rPr>
          <w:rFonts w:ascii="David" w:eastAsia="Times New Roman" w:hAnsi="David" w:cs="David"/>
          <w:sz w:val="24"/>
          <w:szCs w:val="24"/>
          <w:rtl/>
        </w:rPr>
        <w:t>: הפרת החובה לדאוג שבנם, א. שפרטיו בסעיף 1 לכתב האישום ("</w:t>
      </w:r>
      <w:r w:rsidRPr="00A35E65">
        <w:rPr>
          <w:rFonts w:ascii="David" w:eastAsia="Times New Roman" w:hAnsi="David" w:cs="David"/>
          <w:b/>
          <w:bCs/>
          <w:sz w:val="24"/>
          <w:szCs w:val="24"/>
          <w:rtl/>
        </w:rPr>
        <w:t>הקטין</w:t>
      </w:r>
      <w:r w:rsidRPr="00A35E65">
        <w:rPr>
          <w:rFonts w:ascii="David" w:eastAsia="Times New Roman" w:hAnsi="David" w:cs="David"/>
          <w:sz w:val="24"/>
          <w:szCs w:val="24"/>
          <w:rtl/>
        </w:rPr>
        <w:t>")</w:t>
      </w:r>
      <w:r w:rsidRPr="00A35E65">
        <w:rPr>
          <w:rFonts w:ascii="David" w:eastAsia="Times New Roman" w:hAnsi="David" w:cs="David"/>
          <w:noProof/>
          <w:sz w:val="24"/>
          <w:szCs w:val="24"/>
          <w:rtl/>
        </w:rPr>
        <w:t xml:space="preserve"> ילמד באופן סדיר במוסד חינוך מוכר (כהגדרתו בחוק לימוד חובה; "</w:t>
      </w:r>
      <w:r w:rsidRPr="00A35E65">
        <w:rPr>
          <w:rFonts w:ascii="David" w:eastAsia="Times New Roman" w:hAnsi="David" w:cs="David"/>
          <w:b/>
          <w:bCs/>
          <w:noProof/>
          <w:sz w:val="24"/>
          <w:szCs w:val="24"/>
          <w:rtl/>
        </w:rPr>
        <w:t>מוסד חינוך מוכר</w:t>
      </w:r>
      <w:r w:rsidRPr="00A35E65">
        <w:rPr>
          <w:rFonts w:ascii="David" w:eastAsia="Times New Roman" w:hAnsi="David" w:cs="David"/>
          <w:noProof/>
          <w:sz w:val="24"/>
          <w:szCs w:val="24"/>
          <w:rtl/>
        </w:rPr>
        <w:t>").</w:t>
      </w:r>
    </w:p>
    <w:p w:rsidR="00A35E65" w:rsidRPr="00A35E65" w:rsidRDefault="00A35E65" w:rsidP="00A35E65">
      <w:pPr>
        <w:spacing w:before="240" w:after="0" w:line="360" w:lineRule="auto"/>
        <w:jc w:val="both"/>
        <w:rPr>
          <w:rFonts w:ascii="David" w:eastAsia="Times New Roman" w:hAnsi="David" w:cs="David"/>
          <w:b/>
          <w:bCs/>
          <w:noProof/>
          <w:sz w:val="24"/>
          <w:szCs w:val="24"/>
          <w:u w:val="single"/>
          <w:rtl/>
        </w:rPr>
      </w:pPr>
      <w:r w:rsidRPr="00A35E65">
        <w:rPr>
          <w:rFonts w:ascii="David" w:eastAsia="Times New Roman" w:hAnsi="David" w:cs="David"/>
          <w:b/>
          <w:bCs/>
          <w:noProof/>
          <w:sz w:val="24"/>
          <w:szCs w:val="24"/>
          <w:u w:val="single"/>
          <w:rtl/>
        </w:rPr>
        <w:t xml:space="preserve">עובדות כתב האישום </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noProof/>
          <w:sz w:val="24"/>
          <w:szCs w:val="24"/>
          <w:rtl/>
        </w:rPr>
        <w:t>על פי עובדות כתב האישום, לקראת תחילת שנת הלימודים תשפ"ב (1 בספטמבר, 2021) שובץ הקטין ללימודים בכיתה א' בבית-הספר אלי כהן בקריית מלאכי ("</w:t>
      </w:r>
      <w:r w:rsidRPr="00A35E65">
        <w:rPr>
          <w:rFonts w:ascii="David" w:eastAsia="Times New Roman" w:hAnsi="David" w:cs="David"/>
          <w:b/>
          <w:bCs/>
          <w:noProof/>
          <w:sz w:val="24"/>
          <w:szCs w:val="24"/>
          <w:rtl/>
        </w:rPr>
        <w:t>בית-הספר</w:t>
      </w:r>
      <w:r w:rsidRPr="00A35E65">
        <w:rPr>
          <w:rFonts w:ascii="David" w:eastAsia="Times New Roman" w:hAnsi="David" w:cs="David"/>
          <w:noProof/>
          <w:sz w:val="24"/>
          <w:szCs w:val="24"/>
          <w:rtl/>
        </w:rPr>
        <w:t xml:space="preserve">"). החל משנת הלימודים תשפ"ב ועד לכתיבת שורות אלה, הנאשמים מנעו מהקטין להתייצב לבית-הספר, או מוסד חינוך מוכר אחר, ולא דאגו כי הקטין ילמד במוסד חינוך מוכר. </w:t>
      </w:r>
    </w:p>
    <w:p w:rsidR="00A35E65" w:rsidRPr="00A35E65" w:rsidRDefault="00A35E65" w:rsidP="00A35E65">
      <w:pPr>
        <w:spacing w:before="240" w:after="0" w:line="360" w:lineRule="auto"/>
        <w:jc w:val="both"/>
        <w:rPr>
          <w:rFonts w:ascii="David" w:eastAsia="Times New Roman" w:hAnsi="David" w:cs="David"/>
          <w:b/>
          <w:bCs/>
          <w:noProof/>
          <w:sz w:val="24"/>
          <w:szCs w:val="24"/>
          <w:rtl/>
        </w:rPr>
      </w:pPr>
      <w:r w:rsidRPr="00A35E65">
        <w:rPr>
          <w:rFonts w:ascii="David" w:eastAsia="Times New Roman" w:hAnsi="David" w:cs="David"/>
          <w:b/>
          <w:bCs/>
          <w:noProof/>
          <w:sz w:val="24"/>
          <w:szCs w:val="24"/>
          <w:rtl/>
        </w:rPr>
        <w:t xml:space="preserve">הנאשמים הודו בעובדות אך כפרו באשמה. </w:t>
      </w:r>
    </w:p>
    <w:p w:rsidR="00A35E65" w:rsidRPr="00A35E65" w:rsidRDefault="00A35E65" w:rsidP="00A35E65">
      <w:pPr>
        <w:spacing w:before="240" w:after="0" w:line="360" w:lineRule="auto"/>
        <w:jc w:val="both"/>
        <w:rPr>
          <w:rFonts w:ascii="David" w:eastAsia="Times New Roman" w:hAnsi="David" w:cs="David"/>
          <w:b/>
          <w:bCs/>
          <w:noProof/>
          <w:sz w:val="24"/>
          <w:szCs w:val="24"/>
          <w:u w:val="single"/>
          <w:rtl/>
        </w:rPr>
      </w:pPr>
      <w:r w:rsidRPr="00A35E65">
        <w:rPr>
          <w:rFonts w:ascii="David" w:eastAsia="Times New Roman" w:hAnsi="David" w:cs="David"/>
          <w:b/>
          <w:bCs/>
          <w:noProof/>
          <w:sz w:val="24"/>
          <w:szCs w:val="24"/>
          <w:u w:val="single"/>
          <w:rtl/>
        </w:rPr>
        <w:t>עובדות שאינן שנויות במחלוקת</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אין מחלוקת עובדתית במקרה דנן: </w:t>
      </w:r>
    </w:p>
    <w:p w:rsidR="00A35E65" w:rsidRPr="00A35E65" w:rsidRDefault="00A35E65" w:rsidP="00A35E65">
      <w:pPr>
        <w:spacing w:before="240" w:after="0" w:line="360" w:lineRule="auto"/>
        <w:jc w:val="both"/>
        <w:rPr>
          <w:rFonts w:ascii="David" w:eastAsia="Times New Roman" w:hAnsi="David" w:cs="David"/>
          <w:sz w:val="24"/>
          <w:szCs w:val="24"/>
        </w:rPr>
      </w:pPr>
      <w:r w:rsidRPr="00A35E65">
        <w:rPr>
          <w:rFonts w:ascii="David" w:eastAsia="Times New Roman" w:hAnsi="David" w:cs="David"/>
          <w:sz w:val="24"/>
          <w:szCs w:val="24"/>
          <w:rtl/>
        </w:rPr>
        <w:t>אין חולק שהקטין לא התייצב במוסד חינוך מוכר מיום 1 בספטמבר, 2021.</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אין חולק שהנאשמים אינם מחזיקים באישור לחינוך ביתי ואף לא הגישו בקשה למשרד החינוך לקבל פטור מהחובה המוטלת עליהם לפי סעיף 4 לחוק לימוד חובה, כאמור בהוראת קבע מספר 0274 פטור מחוק לימוד חובה לשם חינוך ביתי – נהלים, שתוקפה מיום 6 באוקטובר, 2021 ("</w:t>
      </w:r>
      <w:r w:rsidRPr="00A35E65">
        <w:rPr>
          <w:rFonts w:ascii="David" w:eastAsia="Times New Roman" w:hAnsi="David" w:cs="David"/>
          <w:b/>
          <w:bCs/>
          <w:sz w:val="24"/>
          <w:szCs w:val="24"/>
          <w:rtl/>
        </w:rPr>
        <w:t>חוזר מנכ"ל</w:t>
      </w:r>
      <w:r w:rsidRPr="00A35E65">
        <w:rPr>
          <w:rFonts w:ascii="David" w:eastAsia="Times New Roman" w:hAnsi="David" w:cs="David"/>
          <w:sz w:val="24"/>
          <w:szCs w:val="24"/>
          <w:rtl/>
        </w:rPr>
        <w:t>"), או כאמור בנהלים שקדמו לחוזר המנכ"ל (ראו חינוך ביתי – נהלים מספר 3.1-37 שתוקפם מיום 1 באפריל, 2009 ועד לכניסת חוזר מנכ"ל לתוקף).</w:t>
      </w:r>
    </w:p>
    <w:p w:rsidR="00853388" w:rsidRDefault="00853388" w:rsidP="00853388">
      <w:pPr>
        <w:spacing w:before="240" w:after="0" w:line="360" w:lineRule="auto"/>
        <w:jc w:val="both"/>
        <w:rPr>
          <w:rFonts w:ascii="David" w:eastAsia="Times New Roman" w:hAnsi="David" w:cs="David"/>
          <w:b/>
          <w:bCs/>
          <w:sz w:val="24"/>
          <w:szCs w:val="24"/>
          <w:u w:val="single"/>
          <w:rtl/>
        </w:rPr>
      </w:pPr>
    </w:p>
    <w:p w:rsidR="00853388" w:rsidRDefault="00853388" w:rsidP="00853388">
      <w:pPr>
        <w:spacing w:before="240" w:after="0" w:line="360" w:lineRule="auto"/>
        <w:jc w:val="both"/>
        <w:rPr>
          <w:rFonts w:ascii="David" w:eastAsia="Times New Roman" w:hAnsi="David" w:cs="David"/>
          <w:b/>
          <w:bCs/>
          <w:sz w:val="24"/>
          <w:szCs w:val="24"/>
          <w:u w:val="single"/>
          <w:rtl/>
        </w:rPr>
      </w:pPr>
    </w:p>
    <w:p w:rsidR="00853388" w:rsidRDefault="00853388" w:rsidP="00853388">
      <w:pPr>
        <w:spacing w:before="240" w:after="0" w:line="360" w:lineRule="auto"/>
        <w:jc w:val="both"/>
        <w:rPr>
          <w:rFonts w:ascii="David" w:eastAsia="Times New Roman" w:hAnsi="David" w:cs="David"/>
          <w:b/>
          <w:bCs/>
          <w:sz w:val="24"/>
          <w:szCs w:val="24"/>
          <w:u w:val="single"/>
          <w:rtl/>
        </w:rPr>
      </w:pPr>
    </w:p>
    <w:p w:rsidR="00853388" w:rsidRDefault="00A35E65" w:rsidP="00853388">
      <w:pPr>
        <w:spacing w:before="240" w:after="0" w:line="360" w:lineRule="auto"/>
        <w:jc w:val="both"/>
        <w:rPr>
          <w:rFonts w:ascii="David" w:eastAsia="Times New Roman" w:hAnsi="David" w:cs="David"/>
          <w:b/>
          <w:bCs/>
          <w:sz w:val="24"/>
          <w:szCs w:val="24"/>
          <w:u w:val="single"/>
          <w:rtl/>
        </w:rPr>
      </w:pPr>
      <w:r w:rsidRPr="00A35E65">
        <w:rPr>
          <w:rFonts w:ascii="David" w:eastAsia="Times New Roman" w:hAnsi="David" w:cs="David"/>
          <w:b/>
          <w:bCs/>
          <w:sz w:val="24"/>
          <w:szCs w:val="24"/>
          <w:u w:val="single"/>
          <w:rtl/>
        </w:rPr>
        <w:t xml:space="preserve">המחלוקת </w:t>
      </w:r>
    </w:p>
    <w:p w:rsidR="00A35E65" w:rsidRPr="00A35E65" w:rsidRDefault="00A35E65" w:rsidP="00853388">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המחלוקת נעוצה בפרשנות המשפטית</w:t>
      </w:r>
      <w:r w:rsidRPr="00A35E65">
        <w:rPr>
          <w:rFonts w:ascii="David" w:eastAsia="Times New Roman" w:hAnsi="David" w:cs="David"/>
          <w:sz w:val="24"/>
          <w:szCs w:val="24"/>
          <w:rtl/>
        </w:rPr>
        <w:t xml:space="preserve"> באשר לחובה המוטלת על הורים לילד בגיל לימוד חובה (כמוגדר בחוק לימוד חובה) מתוקף סעיף 4 לחוק לימוד חובה לאור זכויותיהם של ההורים להשפיע על חינוך ילדיהם.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המאשימה סומכת ידיה על האמור בחוק, ומבקשת את הרשעת הנאשמים על בסיס הודייתם בעובדות בפני ביהמ"ש.</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הנאשמים גורס כי לנאשמים, כהורים, יש זכות חוקתית להשפיע על חינוך ילדם. לדעתו,  בגדרה של אותה זכות חוקתית, רשאים הם  לפרש את  החוק  כהבנתם, על פי האידיאולוגיה שלהם, ללא פיקוח על התכנים או על אופן העברתם.</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b/>
          <w:bCs/>
          <w:sz w:val="24"/>
          <w:szCs w:val="24"/>
          <w:rtl/>
        </w:rPr>
        <w:t>עמדות הצדדים בתמצית כפי שעולה מסיכומיהם</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b/>
          <w:bCs/>
          <w:sz w:val="24"/>
          <w:szCs w:val="24"/>
          <w:rtl/>
        </w:rPr>
        <w:t xml:space="preserve">ב"כ המאשימה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ב"כ המאשימה סבורה כי דיי בהודיית הנאשמים בעובדות כתב האישום על מנת להביא להרשעתם בדין. ב"כ המאשימה הפנתה לראיותיה וציינה, כי השימוש באמצעי של הגשת כתב אישום נעשה כ"מוצא אחרון", לאחר שמוצה השיח וההליך הטיפולי מול ההורים. ב"כ המאשימה גורסת כי הנאשמים עשו דין לעצמם והחליטו שלהם הזכות הבלעדית לקבל החלטות לגבי חינוך הקטין, זאת בניגוד לדין.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המאשימה התייחסה לעדות הנאשמת, שהעידה על הסיבות לסירובה לשלוח את הקטין לבית-הספר, שלא  מהוות הגנה.</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המאשימה בקשה להתעלם מעדויותיהן של גב' מ.ק וגב' מ.מ</w:t>
      </w:r>
      <w:r w:rsidRPr="00A35E65">
        <w:rPr>
          <w:rFonts w:ascii="David" w:eastAsia="Times New Roman" w:hAnsi="David" w:cs="David"/>
          <w:color w:val="0070C0"/>
          <w:sz w:val="24"/>
          <w:szCs w:val="24"/>
          <w:rtl/>
        </w:rPr>
        <w:t xml:space="preserve">, </w:t>
      </w:r>
      <w:r w:rsidRPr="00A35E65">
        <w:rPr>
          <w:rFonts w:ascii="David" w:eastAsia="Times New Roman" w:hAnsi="David" w:cs="David"/>
          <w:sz w:val="24"/>
          <w:szCs w:val="24"/>
          <w:rtl/>
        </w:rPr>
        <w:t>עדות הגנה 2 ו-3 בהתאמה, בהיותן עדויות לא רלוונטיות.</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בסופו של דבר ב"כ המאשימה סבורה כי התנהלות הנאשמים והעדת העדים הקונקרטיים, משקפת התנהלות מטרידה מצד הנאשמים כהורים שהפקירו את חינוכו של הקטין ללא הצדקה עניינית ושלא כדין.  ב"כ המאשימה אינה מסכימה שהתנהלות הנאשמים היא בבחינת זוטי דברים, טענה חלופית, שהעלה ב"כ הנאשמים.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 xml:space="preserve">ב"כ הנאשמים </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sz w:val="24"/>
          <w:szCs w:val="24"/>
          <w:rtl/>
        </w:rPr>
        <w:t>ב"כ הנאשמים טען כי התנהגות הנאשמים אינה מהווה עבירה הגם שהודו בעובדות. לחלופין טען כי יש בהתנהגותם בנסיבות המקרה דנן זוטי דברים</w:t>
      </w:r>
      <w:r w:rsidRPr="00A35E65">
        <w:rPr>
          <w:rFonts w:ascii="David" w:eastAsia="Times New Roman" w:hAnsi="David" w:cs="David"/>
          <w:b/>
          <w:bCs/>
          <w:sz w:val="24"/>
          <w:szCs w:val="24"/>
          <w:rtl/>
        </w:rPr>
        <w:t>.</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lastRenderedPageBreak/>
        <w:t xml:space="preserve">לדידו של ב"כ הנאשמים כי העבירה הקבועה בסעיף 4 לחוק חינוך חובה פוגעת בזכויות יסוד חוקתיות של הנאשמים מעבר לנדרש ועל כן גורס כי יש לצמצם את היקפה באופן שיוביל לזיכוי הנאשמים.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הנאשמים מבקש ליישם בעניינינו את ההלכה שנקבע ב</w:t>
      </w:r>
      <w:hyperlink r:id="rId7" w:history="1">
        <w:r w:rsidRPr="00A35E65">
          <w:rPr>
            <w:rFonts w:ascii="David" w:eastAsia="Times New Roman" w:hAnsi="David" w:cs="David"/>
            <w:color w:val="0000FF"/>
            <w:sz w:val="24"/>
            <w:szCs w:val="24"/>
            <w:u w:val="single"/>
            <w:rtl/>
          </w:rPr>
          <w:t>רע"פ 2660/05 </w:t>
        </w:r>
        <w:r w:rsidRPr="00A35E65">
          <w:rPr>
            <w:rFonts w:ascii="David" w:eastAsia="Times New Roman" w:hAnsi="David" w:cs="David"/>
            <w:b/>
            <w:bCs/>
            <w:color w:val="0000FF"/>
            <w:sz w:val="24"/>
            <w:szCs w:val="24"/>
            <w:u w:val="single"/>
            <w:rtl/>
          </w:rPr>
          <w:t>יוסף אונגרפלד נ' מדינת ישראל</w:t>
        </w:r>
        <w:r w:rsidRPr="00A35E65">
          <w:rPr>
            <w:rFonts w:ascii="David" w:eastAsia="Times New Roman" w:hAnsi="David" w:cs="David"/>
            <w:color w:val="0000FF"/>
            <w:sz w:val="24"/>
            <w:szCs w:val="24"/>
            <w:u w:val="single"/>
            <w:rtl/>
          </w:rPr>
          <w:t> (נבו 13.08.2008)‏</w:t>
        </w:r>
      </w:hyperlink>
      <w:r w:rsidRPr="00A35E65">
        <w:rPr>
          <w:rFonts w:ascii="David" w:eastAsia="Times New Roman" w:hAnsi="David" w:cs="David"/>
          <w:sz w:val="24"/>
          <w:szCs w:val="24"/>
          <w:rtl/>
        </w:rPr>
        <w:t>‏ ("</w:t>
      </w:r>
      <w:r w:rsidRPr="00A35E65">
        <w:rPr>
          <w:rFonts w:ascii="David" w:eastAsia="Times New Roman" w:hAnsi="David" w:cs="David"/>
          <w:b/>
          <w:bCs/>
          <w:sz w:val="24"/>
          <w:szCs w:val="24"/>
          <w:rtl/>
        </w:rPr>
        <w:t>פרשת אונגרפלד</w:t>
      </w:r>
      <w:r w:rsidRPr="00A35E65">
        <w:rPr>
          <w:rFonts w:ascii="David" w:eastAsia="Times New Roman" w:hAnsi="David" w:cs="David"/>
          <w:sz w:val="24"/>
          <w:szCs w:val="24"/>
          <w:rtl/>
        </w:rPr>
        <w:t>") לפיה, לדידו, יש לאזן בין האיסור הפלילי לזכות היסוד החוקתית בכל התנגשות בין אלה, לרבות בכל הליך משפטי, ובפרט במשפט פלילי הכרוך בפגיעה קשה בחירות הפרט ובזכויות האדם.</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הנאשמים מפנה לב</w:t>
      </w:r>
      <w:hyperlink r:id="rId8" w:anchor="0" w:history="1">
        <w:r w:rsidRPr="00A35E65">
          <w:rPr>
            <w:rFonts w:ascii="David" w:eastAsia="Calibri" w:hAnsi="David" w:cs="David"/>
            <w:color w:val="0000FF"/>
            <w:sz w:val="24"/>
            <w:szCs w:val="24"/>
            <w:u w:val="single"/>
            <w:rtl/>
          </w:rPr>
          <w:t>בג"צ 3752/10</w:t>
        </w:r>
      </w:hyperlink>
      <w:r w:rsidRPr="00A35E65">
        <w:rPr>
          <w:rFonts w:ascii="David" w:eastAsia="Calibri" w:hAnsi="David" w:cs="David"/>
          <w:sz w:val="24"/>
          <w:szCs w:val="24"/>
          <w:rtl/>
        </w:rPr>
        <w:t xml:space="preserve"> אמנון רובינשטיין ואח' נ' הכנסת ואח' ("</w:t>
      </w:r>
      <w:r w:rsidRPr="00A35E65">
        <w:rPr>
          <w:rFonts w:ascii="David" w:eastAsia="Calibri" w:hAnsi="David" w:cs="David"/>
          <w:b/>
          <w:bCs/>
          <w:sz w:val="24"/>
          <w:szCs w:val="24"/>
          <w:rtl/>
        </w:rPr>
        <w:t>פרשת רובינשטיין</w:t>
      </w:r>
      <w:r w:rsidRPr="00A35E65">
        <w:rPr>
          <w:rFonts w:ascii="David" w:eastAsia="Calibri" w:hAnsi="David" w:cs="David"/>
          <w:sz w:val="24"/>
          <w:szCs w:val="24"/>
          <w:rtl/>
        </w:rPr>
        <w:t>")</w:t>
      </w:r>
      <w:r w:rsidRPr="00A35E65">
        <w:rPr>
          <w:rFonts w:ascii="David" w:eastAsia="Times New Roman" w:hAnsi="David" w:cs="David"/>
          <w:sz w:val="24"/>
          <w:szCs w:val="24"/>
          <w:rtl/>
        </w:rPr>
        <w:t xml:space="preserve"> שם הוכר חופש החינוך, או הזכות לחינוך לפי השקפת עולם, כזכות חוקתית. עוד מפנה לכך שכב' המשנה לנשיא (כתוארה דאז) נאור כתבה , כי לשיטתה זכות ההורים להשפיע על תכני החינוך של ילדיהם היא זכות חוקתית.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עוד מפנה ב"כ הנאשמים ל</w:t>
      </w:r>
      <w:hyperlink r:id="rId9" w:history="1">
        <w:r w:rsidRPr="00A35E65">
          <w:rPr>
            <w:rFonts w:ascii="David" w:eastAsia="Times New Roman" w:hAnsi="David" w:cs="David"/>
            <w:color w:val="0000FF"/>
            <w:sz w:val="24"/>
            <w:szCs w:val="24"/>
            <w:u w:val="single"/>
            <w:rtl/>
          </w:rPr>
          <w:t>ע"א 2266/93 </w:t>
        </w:r>
        <w:r w:rsidRPr="00A35E65">
          <w:rPr>
            <w:rFonts w:ascii="David" w:eastAsia="Times New Roman" w:hAnsi="David" w:cs="David"/>
            <w:b/>
            <w:bCs/>
            <w:color w:val="0000FF"/>
            <w:sz w:val="24"/>
            <w:szCs w:val="24"/>
            <w:u w:val="single"/>
            <w:rtl/>
          </w:rPr>
          <w:t>פלוני, קטין נ' פלוני</w:t>
        </w:r>
        <w:r w:rsidRPr="00A35E65">
          <w:rPr>
            <w:rFonts w:ascii="David" w:eastAsia="Times New Roman" w:hAnsi="David" w:cs="David"/>
            <w:color w:val="0000FF"/>
            <w:sz w:val="24"/>
            <w:szCs w:val="24"/>
            <w:u w:val="single"/>
          </w:rPr>
          <w:t xml:space="preserve">, </w:t>
        </w:r>
        <w:r w:rsidRPr="00A35E65">
          <w:rPr>
            <w:rFonts w:ascii="David" w:eastAsia="Times New Roman" w:hAnsi="David" w:cs="David"/>
            <w:color w:val="0000FF"/>
            <w:sz w:val="24"/>
            <w:szCs w:val="24"/>
            <w:u w:val="single"/>
            <w:rtl/>
          </w:rPr>
          <w:t>מט(1) 221 (1995)‏</w:t>
        </w:r>
      </w:hyperlink>
      <w:r w:rsidRPr="00A35E65">
        <w:rPr>
          <w:rFonts w:ascii="David" w:eastAsia="Times New Roman" w:hAnsi="David" w:cs="David"/>
          <w:sz w:val="24"/>
          <w:szCs w:val="24"/>
          <w:rtl/>
        </w:rPr>
        <w:t>‏ ("</w:t>
      </w:r>
      <w:r w:rsidRPr="00A35E65">
        <w:rPr>
          <w:rFonts w:ascii="David" w:eastAsia="Times New Roman" w:hAnsi="David" w:cs="David"/>
          <w:b/>
          <w:bCs/>
          <w:sz w:val="24"/>
          <w:szCs w:val="24"/>
          <w:rtl/>
        </w:rPr>
        <w:t>פרשת פלוני</w:t>
      </w:r>
      <w:r w:rsidRPr="00A35E65">
        <w:rPr>
          <w:rFonts w:ascii="David" w:eastAsia="Times New Roman" w:hAnsi="David" w:cs="David"/>
          <w:sz w:val="24"/>
          <w:szCs w:val="24"/>
          <w:rtl/>
        </w:rPr>
        <w:t>"), לפיו התערבות המדינה בהחלטות ההורים הנוגעות לחינוך תהא בבחינת חריג אשר יש להצדיקו, לאור זכותם של הנאשמים לאוטונומיה.</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ב"כ הנאשמים גם טוען כי חוק לימוד חובה הוא חוק ישן, משנת 1949. ב"כ הנאשמים מפנה לכך שהחוק חוקק בטרם הוכרה בישראל גישת החינוך הביתי. עוד טוען, כביטוי ליישונו של החוק, כי העבירה הקבוע בסעיף 4 לחוק לימוד חובה, מטילה סנקציה פלילית אך מעצם אי שליחת קטין למוסד חינוך מוכר, ללא צורך להוכיח כי טובת הילד אכן נפגעה או התייחסות להשקפות עולם אחרות. לדידו היקף העבירה כה רחב, והיקף הפטור כה מצומצם, עד שלא נותר מאומה מזכות היסוד לחינוך על פי השקפת עולם.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לענין הליך בקשה לקבלת אישור לחינוך ביתי</w:t>
      </w:r>
      <w:r w:rsidRPr="00A35E65">
        <w:rPr>
          <w:rFonts w:ascii="David" w:eastAsia="Times New Roman" w:hAnsi="David" w:cs="David"/>
          <w:sz w:val="24"/>
          <w:szCs w:val="24"/>
          <w:rtl/>
        </w:rPr>
        <w:t xml:space="preserve"> - לשיטתו של ב"כ הנאשמים גם הליך קבלת הפטור מחוזר מנכ"ל הוא הליך פוגעני הפוגע באוטונומיית הנאשמים ובזכותם לפרטיות, בייתר שאת לאור הצהרת המדינה באתר האינטרנט של פורטל ההורים, כי בקשות תאושרנה רק בנסיבות יוצאות דופן וחריגות.  בנוסף טוען ב"כ הנאשמים כי תהליך קבלת הפטור מחייב את ההורים להכין תכנית חינוך וסדר יום שבועי באופן הפוסל מלכתחילה כל השקפת עולם חינוכית השוללת מאפיינים אלה.</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הוסיף ב"כ הנאשמים וטען כי אין לצאת מנקודת הנחה ששליחת הקטין למוסד חינוך מוכר מהווה את טובתו, ואין כל סיבה לצאת מנקודת הנחה, שחינוך ביתי אינו מגלם את טובת הילד. לדידו, אין צורך לפגוע בזכות לחינוך לפי השקפת עולם לצורך הגנה מפני סיכון רחוק ועמום לפגיעה בטובת הילד, ללא קיומה בפועל של ראייה להתממשות הפגיעה.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ב"כ הנאשמים מסכם העבירה הקבועה בסעיף 4 לחוק לימוד חובה מהווה פגיעה חמורה בזכות החוקתית לחינוך על-פי השקפת עולם – פגיעה שלא עולה בקנה אחד עם מבחני פסקת ההגבלה בהתאם ל</w:t>
      </w:r>
      <w:hyperlink r:id="rId10" w:anchor="/5fc7492713c77a8af6294a42" w:history="1">
        <w:r w:rsidRPr="00A35E65">
          <w:rPr>
            <w:rFonts w:ascii="David" w:eastAsia="Times New Roman" w:hAnsi="David" w:cs="David"/>
            <w:color w:val="0000FF"/>
            <w:sz w:val="24"/>
            <w:szCs w:val="24"/>
            <w:u w:val="single"/>
            <w:rtl/>
          </w:rPr>
          <w:t>חוק יסוד: כבוד האדם וחירותו</w:t>
        </w:r>
      </w:hyperlink>
      <w:r w:rsidRPr="00A35E65">
        <w:rPr>
          <w:rFonts w:ascii="David" w:eastAsia="Times New Roman" w:hAnsi="David" w:cs="David"/>
          <w:sz w:val="24"/>
          <w:szCs w:val="24"/>
          <w:rtl/>
        </w:rPr>
        <w:t xml:space="preserve">. לשיטתו, יישום פרשת אונגרפלד לעניין עבירה על סעיף 4 לחוק לימוד חובה בהכרח מובילה למסקנה, כי עבירה זו פוגעת בזכות היסוד של הנאשמים מעבר לנדרש, ולפיכך יש לצמצם את היקפה באופן בו יהיה לקבוע כי הנאשמים זכאים.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lastRenderedPageBreak/>
        <w:t>לחלופין, לשיטתו, ניתן לאזן את הפגיעה בזכותם החוקתית של הנאשמים באמצעות קביעת זיכוי לאור הגנת זוטי דברים לפי סעיף 34יז. לחוק העונשין, התשל"ז-1944 ("</w:t>
      </w:r>
      <w:r w:rsidRPr="00A35E65">
        <w:rPr>
          <w:rFonts w:ascii="David" w:eastAsia="Times New Roman" w:hAnsi="David" w:cs="David"/>
          <w:b/>
          <w:bCs/>
          <w:sz w:val="24"/>
          <w:szCs w:val="24"/>
          <w:rtl/>
        </w:rPr>
        <w:t>חוק העונשין</w:t>
      </w:r>
      <w:r w:rsidRPr="00A35E65">
        <w:rPr>
          <w:rFonts w:ascii="David" w:eastAsia="Times New Roman" w:hAnsi="David" w:cs="David"/>
          <w:sz w:val="24"/>
          <w:szCs w:val="24"/>
          <w:rtl/>
        </w:rPr>
        <w:t>").</w:t>
      </w:r>
    </w:p>
    <w:p w:rsidR="00853388" w:rsidRDefault="00853388" w:rsidP="00A35E65">
      <w:pPr>
        <w:spacing w:before="240" w:after="0" w:line="360" w:lineRule="auto"/>
        <w:jc w:val="both"/>
        <w:rPr>
          <w:rFonts w:ascii="David" w:eastAsia="Times New Roman" w:hAnsi="David" w:cs="David"/>
          <w:b/>
          <w:bCs/>
          <w:sz w:val="24"/>
          <w:szCs w:val="24"/>
          <w:u w:val="single"/>
          <w:rtl/>
        </w:rPr>
      </w:pPr>
    </w:p>
    <w:p w:rsidR="00A35E65" w:rsidRPr="00A35E65" w:rsidRDefault="00A35E65" w:rsidP="00A35E65">
      <w:pPr>
        <w:spacing w:before="240" w:after="0" w:line="360" w:lineRule="auto"/>
        <w:jc w:val="both"/>
        <w:rPr>
          <w:rFonts w:ascii="David" w:eastAsia="Times New Roman" w:hAnsi="David" w:cs="David"/>
          <w:b/>
          <w:bCs/>
          <w:sz w:val="24"/>
          <w:szCs w:val="24"/>
          <w:u w:val="single"/>
          <w:rtl/>
        </w:rPr>
      </w:pPr>
      <w:r w:rsidRPr="00A35E65">
        <w:rPr>
          <w:rFonts w:ascii="David" w:eastAsia="Times New Roman" w:hAnsi="David" w:cs="David"/>
          <w:b/>
          <w:bCs/>
          <w:sz w:val="24"/>
          <w:szCs w:val="24"/>
          <w:u w:val="single"/>
          <w:rtl/>
        </w:rPr>
        <w:t>ראיות המאשימה</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noProof/>
          <w:sz w:val="24"/>
          <w:szCs w:val="24"/>
          <w:rtl/>
        </w:rPr>
        <w:t xml:space="preserve">מטעם המאשימה העיד מנהל אגף החינוך בקריית מלאכי </w:t>
      </w:r>
      <w:r w:rsidRPr="00A35E65">
        <w:rPr>
          <w:rFonts w:ascii="David" w:eastAsia="Times New Roman" w:hAnsi="David" w:cs="David"/>
          <w:sz w:val="24"/>
          <w:szCs w:val="24"/>
          <w:rtl/>
        </w:rPr>
        <w:t>("</w:t>
      </w:r>
      <w:r w:rsidRPr="00A35E65">
        <w:rPr>
          <w:rFonts w:ascii="David" w:eastAsia="Times New Roman" w:hAnsi="David" w:cs="David"/>
          <w:b/>
          <w:bCs/>
          <w:sz w:val="24"/>
          <w:szCs w:val="24"/>
          <w:rtl/>
        </w:rPr>
        <w:t>אגף החינוך</w:t>
      </w:r>
      <w:r w:rsidRPr="00A35E65">
        <w:rPr>
          <w:rFonts w:ascii="David" w:eastAsia="Times New Roman" w:hAnsi="David" w:cs="David"/>
          <w:sz w:val="24"/>
          <w:szCs w:val="24"/>
          <w:rtl/>
        </w:rPr>
        <w:t>")</w:t>
      </w:r>
      <w:r w:rsidRPr="00A35E65">
        <w:rPr>
          <w:rFonts w:ascii="David" w:eastAsia="Times New Roman" w:hAnsi="David" w:cs="David"/>
          <w:noProof/>
          <w:sz w:val="24"/>
          <w:szCs w:val="24"/>
          <w:rtl/>
        </w:rPr>
        <w:t xml:space="preserve">, ד"ר א.א. (ע.ת. 1), ובאמצעותו הוגש מסמך </w:t>
      </w:r>
      <w:r w:rsidRPr="00A35E65">
        <w:rPr>
          <w:rFonts w:ascii="David" w:eastAsia="Times New Roman" w:hAnsi="David" w:cs="David"/>
          <w:sz w:val="24"/>
          <w:szCs w:val="24"/>
          <w:rtl/>
        </w:rPr>
        <w:t xml:space="preserve">המתאר את הליך השימוע טרם הגשת כתב אישום, שנערך לנאשמים באגף החינוך (סומן </w:t>
      </w:r>
      <w:r w:rsidRPr="00A35E65">
        <w:rPr>
          <w:rFonts w:ascii="David" w:eastAsia="Times New Roman" w:hAnsi="David" w:cs="David"/>
          <w:b/>
          <w:bCs/>
          <w:sz w:val="24"/>
          <w:szCs w:val="24"/>
          <w:rtl/>
        </w:rPr>
        <w:t>ת/1</w:t>
      </w:r>
      <w:r w:rsidRPr="00A35E65">
        <w:rPr>
          <w:rFonts w:ascii="David" w:eastAsia="Times New Roman" w:hAnsi="David" w:cs="David"/>
          <w:noProof/>
          <w:sz w:val="24"/>
          <w:szCs w:val="24"/>
          <w:rtl/>
        </w:rPr>
        <w:t xml:space="preserve">). </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noProof/>
          <w:sz w:val="24"/>
          <w:szCs w:val="24"/>
          <w:rtl/>
        </w:rPr>
        <w:t>כמו כן, העידה רכזת קציני ביקור סדיר בקריית מלאכי, הגב' מ.א (ע.ת. 2).</w:t>
      </w:r>
    </w:p>
    <w:p w:rsidR="00A35E65" w:rsidRPr="00A35E65" w:rsidRDefault="00A35E65" w:rsidP="00A35E65">
      <w:pPr>
        <w:spacing w:before="240" w:after="0" w:line="360" w:lineRule="auto"/>
        <w:jc w:val="both"/>
        <w:rPr>
          <w:rFonts w:ascii="David" w:eastAsia="Times New Roman" w:hAnsi="David" w:cs="David"/>
          <w:b/>
          <w:bCs/>
          <w:sz w:val="24"/>
          <w:szCs w:val="24"/>
          <w:u w:val="single"/>
          <w:rtl/>
        </w:rPr>
      </w:pPr>
      <w:r w:rsidRPr="00A35E65">
        <w:rPr>
          <w:rFonts w:ascii="David" w:eastAsia="Times New Roman" w:hAnsi="David" w:cs="David"/>
          <w:b/>
          <w:bCs/>
          <w:sz w:val="24"/>
          <w:szCs w:val="24"/>
          <w:u w:val="single"/>
          <w:rtl/>
        </w:rPr>
        <w:t>ע.ת. 1, מנהל אגף החינוך בקריית מלאכי</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u w:val="single"/>
          <w:rtl/>
        </w:rPr>
        <w:t xml:space="preserve">ד"ר א. א </w:t>
      </w:r>
      <w:r w:rsidRPr="00A35E65">
        <w:rPr>
          <w:rFonts w:ascii="David" w:eastAsia="Times New Roman" w:hAnsi="David" w:cs="David"/>
          <w:sz w:val="24"/>
          <w:szCs w:val="24"/>
          <w:u w:val="single"/>
          <w:rtl/>
        </w:rPr>
        <w:t xml:space="preserve"> ( </w:t>
      </w:r>
      <w:r w:rsidRPr="00A35E65">
        <w:rPr>
          <w:rFonts w:ascii="David" w:eastAsia="Times New Roman" w:hAnsi="David" w:cs="David"/>
          <w:sz w:val="24"/>
          <w:szCs w:val="24"/>
          <w:rtl/>
        </w:rPr>
        <w:t xml:space="preserve">באמצעותו הוגש מסמך הנוגע להליך השימוע שסומן </w:t>
      </w:r>
      <w:r w:rsidRPr="00A35E65">
        <w:rPr>
          <w:rFonts w:ascii="David" w:eastAsia="Times New Roman" w:hAnsi="David" w:cs="David"/>
          <w:b/>
          <w:bCs/>
          <w:sz w:val="24"/>
          <w:szCs w:val="24"/>
          <w:rtl/>
        </w:rPr>
        <w:t>ת/1</w:t>
      </w:r>
      <w:r w:rsidRPr="00A35E65">
        <w:rPr>
          <w:rFonts w:ascii="David" w:eastAsia="Times New Roman" w:hAnsi="David" w:cs="David"/>
          <w:sz w:val="24"/>
          <w:szCs w:val="24"/>
          <w:rtl/>
        </w:rPr>
        <w:t xml:space="preserve"> ) , העיד, על מטרת אגף החינוך שכלל ילדי עיריית קריית מלאכי יגיעו למערכת החינוכית בהתאם לבחירתם ולבחירת ההורים, זאת בכפוף לנהלים.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עוד העיד מנהל האגף על דרך פעולת אגף החינוך הפועל  על מנת לתת את "המעטפת הנכונה בתוך קריית מלאכי" [שורות 8-9, עמוד 8 לפרוטוקול מיום 31 בינואר, 2024 ("</w:t>
      </w:r>
      <w:r w:rsidRPr="00A35E65">
        <w:rPr>
          <w:rFonts w:ascii="David" w:eastAsia="Times New Roman" w:hAnsi="David" w:cs="David"/>
          <w:b/>
          <w:bCs/>
          <w:sz w:val="24"/>
          <w:szCs w:val="24"/>
          <w:rtl/>
        </w:rPr>
        <w:t>הפרוטוקול</w:t>
      </w:r>
      <w:r w:rsidRPr="00A35E65">
        <w:rPr>
          <w:rFonts w:ascii="David" w:eastAsia="Times New Roman" w:hAnsi="David" w:cs="David"/>
          <w:sz w:val="24"/>
          <w:szCs w:val="24"/>
          <w:rtl/>
        </w:rPr>
        <w:t xml:space="preserve">")] היה וההורים חפצים בחינוך ביתי – אגף החינוך מנחה כיצד להגיש בקשה בהתאם לחוזר מנכ"ל.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העד הסביר כי במקרה בו ילד לא מתייצב במוסד חינוך, המוסד החינוכי נוהג לטפל בכך, תחילה,  מול הורי הילד ואך כאשר הטיפול לא צולח – המוסד החינוכי מערב את אגף החינוך, וקצין ביקור סדיר נכנס לתמונה.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במקרה דנן, קצין ביקור סדיר הרב א. י ("</w:t>
      </w:r>
      <w:r w:rsidRPr="00A35E65">
        <w:rPr>
          <w:rFonts w:ascii="David" w:eastAsia="Times New Roman" w:hAnsi="David" w:cs="David"/>
          <w:b/>
          <w:bCs/>
          <w:sz w:val="24"/>
          <w:szCs w:val="24"/>
          <w:rtl/>
        </w:rPr>
        <w:t>הקב"ס</w:t>
      </w:r>
      <w:r w:rsidRPr="00A35E65">
        <w:rPr>
          <w:rFonts w:ascii="David" w:eastAsia="Times New Roman" w:hAnsi="David" w:cs="David"/>
          <w:sz w:val="24"/>
          <w:szCs w:val="24"/>
          <w:rtl/>
        </w:rPr>
        <w:t xml:space="preserve">") נדרש לעניינם של הנאשמים,  ערך ביקור בית, אבחן שיש קושי במענה חינוכי בתוך הבית, והנחה את הנאשמים כיצד לפעול לשם הגשת בקשה לקיים חינוך ביתי בהתאם לחוזר מנכ"ל.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בעדותו העד הבהיר, כי הסוגיה העומדת לדיון היא בעצם השיבוץ של הקטין למסגרת לימודית  בשל רצון הנאשמים לחנך את בנם בחינוך ביתי באופן חופשי , לפי שיקול דעתם, ללא קשר למסגרת כלשהי  להבדיל ממחלוקת בדבר אופי המוסד החינוכי אליו משובץ הקטין.</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b/>
          <w:bCs/>
          <w:sz w:val="24"/>
          <w:szCs w:val="24"/>
          <w:rtl/>
        </w:rPr>
        <w:t xml:space="preserve">ע.ת. 1 העיד כי אין שיתוף פעולה מצד הנאשמים וכי ניסיונות שלו ושל אחרים באגף החינוך ליצור קשר עם הנאשמים והקטין על מנת לקדם מפגשים, עלו בתוהו.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ע.ת. 1 ציין כי טרם הגשת כתב אישום נערך לנאשמים  במהלכו נכחו הנאשם, אביו של הקטין, ואילו עו"ד א.י -ב"כ  הנאשמים השתתפה באמצעות תכנת "</w:t>
      </w:r>
      <w:r w:rsidRPr="00A35E65">
        <w:rPr>
          <w:rFonts w:ascii="David" w:eastAsia="Times New Roman" w:hAnsi="David" w:cs="David"/>
          <w:sz w:val="24"/>
          <w:szCs w:val="24"/>
        </w:rPr>
        <w:t>Zoom</w:t>
      </w:r>
      <w:r w:rsidRPr="00A35E65">
        <w:rPr>
          <w:rFonts w:ascii="David" w:eastAsia="Times New Roman" w:hAnsi="David" w:cs="David"/>
          <w:sz w:val="24"/>
          <w:szCs w:val="24"/>
          <w:rtl/>
        </w:rPr>
        <w:t xml:space="preserve">".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השימוע הופסק כאשר ב"כ הנאשמים טענה כי אגף החינוך אינו מוסמך לערוך את השימוע האמור. </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b/>
          <w:bCs/>
          <w:sz w:val="24"/>
          <w:szCs w:val="24"/>
          <w:rtl/>
        </w:rPr>
        <w:t xml:space="preserve">ע.ת. 2, רכזת קציני ביקור סדיר בקריית מלאכי, הגב' מ. א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lastRenderedPageBreak/>
        <w:t xml:space="preserve">ע.ת. 2, מסרה כי הקטין מאובחן עם </w:t>
      </w:r>
      <w:r w:rsidRPr="00A35E65">
        <w:rPr>
          <w:rFonts w:ascii="David" w:eastAsia="Times New Roman" w:hAnsi="David" w:cs="David"/>
          <w:sz w:val="24"/>
          <w:szCs w:val="24"/>
        </w:rPr>
        <w:t>ESD</w:t>
      </w:r>
      <w:r w:rsidRPr="00A35E65">
        <w:rPr>
          <w:rFonts w:ascii="David" w:eastAsia="Times New Roman" w:hAnsi="David" w:cs="David"/>
          <w:sz w:val="24"/>
          <w:szCs w:val="24"/>
          <w:rtl/>
        </w:rPr>
        <w:t xml:space="preserve"> ( נפלה טעות בהקלדה , צריך להיות </w:t>
      </w:r>
      <w:r w:rsidRPr="00A35E65">
        <w:rPr>
          <w:rFonts w:ascii="David" w:eastAsia="Times New Roman" w:hAnsi="David" w:cs="David"/>
          <w:b/>
          <w:bCs/>
          <w:sz w:val="24"/>
          <w:szCs w:val="24"/>
        </w:rPr>
        <w:t>ASD</w:t>
      </w:r>
      <w:r w:rsidRPr="00A35E65">
        <w:rPr>
          <w:rFonts w:ascii="David" w:eastAsia="Times New Roman" w:hAnsi="David" w:cs="David"/>
          <w:sz w:val="24"/>
          <w:szCs w:val="24"/>
          <w:rtl/>
        </w:rPr>
        <w:t xml:space="preserve"> – </w:t>
      </w:r>
      <w:r w:rsidRPr="00A35E65">
        <w:rPr>
          <w:rFonts w:ascii="David" w:eastAsia="Times New Roman" w:hAnsi="David" w:cs="David"/>
          <w:sz w:val="24"/>
          <w:szCs w:val="24"/>
        </w:rPr>
        <w:t>Autism Spectrum Disorder </w:t>
      </w:r>
      <w:r w:rsidRPr="00A35E65">
        <w:rPr>
          <w:rFonts w:ascii="David" w:eastAsia="Times New Roman" w:hAnsi="David" w:cs="David"/>
          <w:sz w:val="24"/>
          <w:szCs w:val="24"/>
          <w:rtl/>
        </w:rPr>
        <w:t>, אוטיזם). העדה העידה כי במהלך גיל גן הקטין הגיע כסדרו למוסד חינוך מוכר, אך בהמשך  לאחר שובץ בהתאם לוועדת זכאות ואפיון לכיתת תקשורת בבית-הספר – בכיתה המיועדת לתלמידים "על הרצף התקשורתי" (שורות 14-16 בעמוד 11 לפרוטוקול),  הקטין לא הגיע לבית הספר.  העדה סברה כי בספטמבר 2021 הנאשמים חששו לשלוח את הקטין לבית-הספר בשל מגפת הקורונה  אולם בהמשך  מתארת העדה כי בית-הספר ניסה לחזר אחר ההורים, לשוחח עימם גם בשיחות וידאו באפליקציית  "'</w:t>
      </w:r>
      <w:r w:rsidRPr="00A35E65">
        <w:rPr>
          <w:rFonts w:ascii="David" w:eastAsia="Times New Roman" w:hAnsi="David" w:cs="David"/>
          <w:sz w:val="24"/>
          <w:szCs w:val="24"/>
        </w:rPr>
        <w:t>WhatsApp</w:t>
      </w:r>
      <w:r w:rsidRPr="00A35E65">
        <w:rPr>
          <w:rFonts w:ascii="David" w:eastAsia="Times New Roman" w:hAnsi="David" w:cs="David"/>
          <w:sz w:val="24"/>
          <w:szCs w:val="24"/>
          <w:rtl/>
        </w:rPr>
        <w:t xml:space="preserve">", גילו אמפתיה והבנה לחשש וניסו לשכנע לשלו את הקטין למסגרת החינוכית אך כשניסיונות בית-הספר לא צלחו, בית-הספר פנה לקצין ביקור סדיר הנמנה עם בני עדתם של הנאשמים, שהחל את הטיפול במקרה.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העדה מוסרת, כי הקב"ס  קרוב משפחה של הנאשמת והיא מדווחת כי רוב התקשורת מול המשפחה הייתה בטלפון.  עוד עולה מעדותה כי בעקבות פניית הקב"ס לנאשמים, הם החלו לחשוב על חינוך ביתי, ועל כן תהליך הגשת הבקשה לקבלת אישור חינוך ביתי הוסבר להם.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לדברי העדה בסופו של דבר עמדת הנאשמים היתה כי יש להם הזכות הבלעדית, כהורים , להחליט בקשר לחינוך הקטין, וכי אין להם צורך באישורו של גורם כלשהו לחינוך ביתי.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בחקירה הנגדית תארה העדה, כי עת הגיע הקטין הגיע לגן עירייה תפקודו היה בהתאם לדרישות הגן. העדה אישרה כי אין בידיה דו"ח תפקוד של הקטין, חיובי או שלילי.</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העדה העידה, כי ב"כ הנאשמים פנה אליה פעמיים וביקש ממנה לא לפנות למרשיו בענין החינוך בטיעון שפניותיה מהוות הטרדה. </w:t>
      </w:r>
    </w:p>
    <w:p w:rsidR="00A35E65" w:rsidRPr="00A35E65" w:rsidRDefault="00A35E65" w:rsidP="00A35E65">
      <w:pPr>
        <w:spacing w:before="240" w:after="0" w:line="360" w:lineRule="auto"/>
        <w:jc w:val="both"/>
        <w:rPr>
          <w:rFonts w:ascii="David" w:eastAsia="Times New Roman" w:hAnsi="David" w:cs="David"/>
          <w:b/>
          <w:bCs/>
          <w:sz w:val="24"/>
          <w:szCs w:val="24"/>
          <w:u w:val="single"/>
          <w:rtl/>
        </w:rPr>
      </w:pPr>
      <w:r w:rsidRPr="00A35E65">
        <w:rPr>
          <w:rFonts w:ascii="David" w:eastAsia="Times New Roman" w:hAnsi="David" w:cs="David"/>
          <w:b/>
          <w:bCs/>
          <w:sz w:val="24"/>
          <w:szCs w:val="24"/>
          <w:u w:val="single"/>
          <w:rtl/>
        </w:rPr>
        <w:t>ראיות ההגנה</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noProof/>
          <w:sz w:val="24"/>
          <w:szCs w:val="24"/>
          <w:rtl/>
        </w:rPr>
        <w:t>מטעם ההגנה העידו הנאשמת (ע.ה. 1), באמצעותה הוגשה כתבה</w:t>
      </w:r>
      <w:r w:rsidRPr="00A35E65">
        <w:rPr>
          <w:rFonts w:ascii="David" w:eastAsia="Times New Roman" w:hAnsi="David" w:cs="David"/>
          <w:sz w:val="24"/>
          <w:szCs w:val="24"/>
          <w:rtl/>
        </w:rPr>
        <w:t xml:space="preserve"> (סומנה </w:t>
      </w:r>
      <w:r w:rsidRPr="00A35E65">
        <w:rPr>
          <w:rFonts w:ascii="David" w:eastAsia="Times New Roman" w:hAnsi="David" w:cs="David"/>
          <w:b/>
          <w:bCs/>
          <w:sz w:val="24"/>
          <w:szCs w:val="24"/>
          <w:rtl/>
        </w:rPr>
        <w:t>נ/1</w:t>
      </w:r>
      <w:r w:rsidRPr="00A35E65">
        <w:rPr>
          <w:rFonts w:ascii="David" w:eastAsia="Times New Roman" w:hAnsi="David" w:cs="David"/>
          <w:noProof/>
          <w:sz w:val="24"/>
          <w:szCs w:val="24"/>
          <w:rtl/>
        </w:rPr>
        <w:t>), הגב' מ. ק (ע.ה. 2) באמצעותה הוגשה כתבה</w:t>
      </w:r>
      <w:r w:rsidRPr="00A35E65">
        <w:rPr>
          <w:rFonts w:ascii="David" w:eastAsia="Times New Roman" w:hAnsi="David" w:cs="David"/>
          <w:sz w:val="24"/>
          <w:szCs w:val="24"/>
          <w:rtl/>
        </w:rPr>
        <w:t xml:space="preserve"> (סומנה </w:t>
      </w:r>
      <w:r w:rsidRPr="00A35E65">
        <w:rPr>
          <w:rFonts w:ascii="David" w:eastAsia="Times New Roman" w:hAnsi="David" w:cs="David"/>
          <w:b/>
          <w:bCs/>
          <w:sz w:val="24"/>
          <w:szCs w:val="24"/>
          <w:rtl/>
        </w:rPr>
        <w:t>נ/2</w:t>
      </w:r>
      <w:r w:rsidRPr="00A35E65">
        <w:rPr>
          <w:rFonts w:ascii="David" w:eastAsia="Times New Roman" w:hAnsi="David" w:cs="David"/>
          <w:noProof/>
          <w:sz w:val="24"/>
          <w:szCs w:val="24"/>
          <w:rtl/>
        </w:rPr>
        <w:t>) והגב' מ. מ (ע.ה. 3).</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noProof/>
          <w:sz w:val="24"/>
          <w:szCs w:val="24"/>
          <w:rtl/>
        </w:rPr>
        <w:t>כבר בשלב זה יאמר כי עדויות עדות ההגנה לא תרמו להגנת הנאשמים.</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b/>
          <w:bCs/>
          <w:noProof/>
          <w:sz w:val="24"/>
          <w:szCs w:val="24"/>
          <w:rtl/>
        </w:rPr>
        <w:t xml:space="preserve">הנאשם </w:t>
      </w:r>
      <w:r w:rsidRPr="00A35E65">
        <w:rPr>
          <w:rFonts w:ascii="David" w:eastAsia="Times New Roman" w:hAnsi="David" w:cs="David"/>
          <w:noProof/>
          <w:sz w:val="24"/>
          <w:szCs w:val="24"/>
          <w:rtl/>
        </w:rPr>
        <w:t>בחר לא להעיד.</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b/>
          <w:bCs/>
          <w:noProof/>
          <w:sz w:val="24"/>
          <w:szCs w:val="24"/>
          <w:rtl/>
        </w:rPr>
        <w:t>עדות הנאשמת</w:t>
      </w:r>
      <w:r w:rsidRPr="00A35E65">
        <w:rPr>
          <w:rFonts w:ascii="David" w:eastAsia="Times New Roman" w:hAnsi="David" w:cs="David"/>
          <w:noProof/>
          <w:sz w:val="24"/>
          <w:szCs w:val="24"/>
          <w:rtl/>
        </w:rPr>
        <w:t xml:space="preserve"> אליה יתייחס בית המשפט בהמשך באופן מפורט , למרבה הצער אינה מהוה הגנה לעבירה המיוחסת. </w:t>
      </w:r>
    </w:p>
    <w:p w:rsidR="00A35E65" w:rsidRPr="00A35E65" w:rsidRDefault="00A35E65" w:rsidP="00A35E65">
      <w:pPr>
        <w:spacing w:before="240" w:after="0" w:line="360" w:lineRule="auto"/>
        <w:jc w:val="both"/>
        <w:rPr>
          <w:rFonts w:ascii="David" w:eastAsia="Times New Roman" w:hAnsi="David" w:cs="David"/>
          <w:noProof/>
          <w:sz w:val="20"/>
          <w:szCs w:val="20"/>
          <w:rtl/>
        </w:rPr>
      </w:pPr>
      <w:r w:rsidRPr="00A35E65">
        <w:rPr>
          <w:rFonts w:ascii="David" w:eastAsia="Times New Roman" w:hAnsi="David" w:cs="David"/>
          <w:b/>
          <w:bCs/>
          <w:noProof/>
          <w:sz w:val="24"/>
          <w:szCs w:val="24"/>
          <w:rtl/>
        </w:rPr>
        <w:t xml:space="preserve">באשר לעדותה של עדת הגנה 2 </w:t>
      </w:r>
      <w:r w:rsidRPr="00A35E65">
        <w:rPr>
          <w:rFonts w:ascii="David" w:eastAsia="Times New Roman" w:hAnsi="David" w:cs="David"/>
          <w:b/>
          <w:bCs/>
          <w:sz w:val="24"/>
          <w:szCs w:val="24"/>
          <w:u w:val="single"/>
          <w:rtl/>
        </w:rPr>
        <w:t>הגב' מ. ק</w:t>
      </w:r>
      <w:r w:rsidRPr="00A35E65">
        <w:rPr>
          <w:rFonts w:ascii="David" w:eastAsia="Times New Roman" w:hAnsi="David" w:cs="David"/>
          <w:noProof/>
          <w:sz w:val="24"/>
          <w:szCs w:val="24"/>
          <w:rtl/>
        </w:rPr>
        <w:t xml:space="preserve"> , שהינה מורה למחול במקצועה – אין בה כדי לסייע לנאשמים אף שהעידה כי היא עוסקת, בין היתר, </w:t>
      </w:r>
      <w:r w:rsidRPr="00A35E65">
        <w:rPr>
          <w:rFonts w:ascii="David" w:eastAsia="Times New Roman" w:hAnsi="David" w:cs="David"/>
          <w:sz w:val="24"/>
          <w:szCs w:val="24"/>
          <w:rtl/>
        </w:rPr>
        <w:t>בליווי משפחות וקהילות, המאמינות ומיישמות חינוך ביתי. העדה</w:t>
      </w:r>
      <w:r w:rsidRPr="00A35E65">
        <w:rPr>
          <w:rFonts w:ascii="David" w:eastAsia="Times New Roman" w:hAnsi="David" w:cs="David"/>
          <w:noProof/>
          <w:sz w:val="24"/>
          <w:szCs w:val="24"/>
          <w:rtl/>
        </w:rPr>
        <w:t xml:space="preserve"> אישרה כי אינה מכירה את מערכת החינוך בקירית מלאכי, אינה מכירה את </w:t>
      </w:r>
      <w:r w:rsidRPr="00A35E65">
        <w:rPr>
          <w:rFonts w:ascii="David" w:eastAsia="Times New Roman" w:hAnsi="David" w:cs="David"/>
          <w:noProof/>
          <w:sz w:val="24"/>
          <w:szCs w:val="24"/>
          <w:rtl/>
        </w:rPr>
        <w:lastRenderedPageBreak/>
        <w:t xml:space="preserve">הנאשמים ואין לה הכרות עם הקטין,  על כן אין בעדותה לתרום לנאשמים לפרשנות העבירה כטענת ב"כ הנאשמים או לנאשמים  </w:t>
      </w:r>
      <w:r w:rsidRPr="00A35E65">
        <w:rPr>
          <w:rFonts w:ascii="David" w:eastAsia="Times New Roman" w:hAnsi="David" w:cs="David"/>
          <w:noProof/>
          <w:sz w:val="20"/>
          <w:szCs w:val="20"/>
          <w:rtl/>
        </w:rPr>
        <w:footnoteReference w:id="1"/>
      </w:r>
      <w:r w:rsidRPr="00A35E65">
        <w:rPr>
          <w:rFonts w:ascii="David" w:eastAsia="Times New Roman" w:hAnsi="David" w:cs="David"/>
          <w:noProof/>
          <w:sz w:val="20"/>
          <w:szCs w:val="20"/>
          <w:rtl/>
        </w:rPr>
        <w:t xml:space="preserve">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באמצעות ע.ה 2 הוגשה כתבה מיום 26/9/2023 שנכתבה על-ידי תמר טרבלסי חדד מאתר </w:t>
      </w:r>
      <w:r w:rsidRPr="00A35E65">
        <w:rPr>
          <w:rFonts w:ascii="David" w:eastAsia="Times New Roman" w:hAnsi="David" w:cs="David"/>
          <w:sz w:val="24"/>
          <w:szCs w:val="24"/>
        </w:rPr>
        <w:t>Ynet</w:t>
      </w:r>
      <w:r w:rsidRPr="00A35E65">
        <w:rPr>
          <w:rFonts w:ascii="David" w:eastAsia="Times New Roman" w:hAnsi="David" w:cs="David"/>
          <w:sz w:val="24"/>
          <w:szCs w:val="24"/>
          <w:rtl/>
        </w:rPr>
        <w:t xml:space="preserve">, בעלת 4 עמודים ( סומנה </w:t>
      </w:r>
      <w:r w:rsidRPr="00A35E65">
        <w:rPr>
          <w:rFonts w:ascii="David" w:eastAsia="Times New Roman" w:hAnsi="David" w:cs="David"/>
          <w:b/>
          <w:bCs/>
          <w:sz w:val="24"/>
          <w:szCs w:val="24"/>
          <w:u w:val="single"/>
          <w:rtl/>
        </w:rPr>
        <w:t>נ/2</w:t>
      </w:r>
      <w:r w:rsidRPr="00A35E65">
        <w:rPr>
          <w:rFonts w:ascii="David" w:eastAsia="Times New Roman" w:hAnsi="David" w:cs="David"/>
          <w:sz w:val="24"/>
          <w:szCs w:val="24"/>
          <w:rtl/>
        </w:rPr>
        <w:t xml:space="preserve"> ) , שכותרתה " זינוק  של  110% של מספר הלומדים בחינוך ביתי  , הרצון ללמוד צריך לבוא מהילד  "  שלא די שלא הוגשה באמצעות עורכה ולא ניתן היה לחקור על בסיס אלו נתונים נכתבה, גם אם  הנתונים נכונים , אין לה כל רלוונטיות בעניינם של הנאשמים, שלא טרחו כלל להגיש בקשה ללימוד ביתי.  </w:t>
      </w:r>
    </w:p>
    <w:p w:rsidR="00A35E65" w:rsidRPr="00A35E65" w:rsidRDefault="00A35E65" w:rsidP="00A35E65">
      <w:pPr>
        <w:spacing w:before="240" w:after="0" w:line="360" w:lineRule="auto"/>
        <w:jc w:val="both"/>
        <w:rPr>
          <w:rFonts w:ascii="David" w:eastAsia="Times New Roman" w:hAnsi="David" w:cs="David"/>
          <w:sz w:val="24"/>
          <w:szCs w:val="24"/>
          <w:u w:val="single"/>
          <w:rtl/>
        </w:rPr>
      </w:pPr>
      <w:r w:rsidRPr="00A35E65">
        <w:rPr>
          <w:rFonts w:ascii="David" w:eastAsia="Times New Roman" w:hAnsi="David" w:cs="David"/>
          <w:b/>
          <w:bCs/>
          <w:noProof/>
          <w:sz w:val="24"/>
          <w:szCs w:val="24"/>
          <w:rtl/>
        </w:rPr>
        <w:t>גם עדותה של ע.ה.3 הגב' מ. מ</w:t>
      </w:r>
      <w:r w:rsidRPr="00A35E65">
        <w:rPr>
          <w:rFonts w:ascii="David" w:eastAsia="Times New Roman" w:hAnsi="David" w:cs="David"/>
          <w:noProof/>
          <w:sz w:val="24"/>
          <w:szCs w:val="24"/>
          <w:rtl/>
        </w:rPr>
        <w:t xml:space="preserve"> אינה מסייעת לנאשמים .</w:t>
      </w:r>
      <w:r w:rsidRPr="00A35E65">
        <w:rPr>
          <w:rFonts w:ascii="David" w:eastAsia="Times New Roman" w:hAnsi="David" w:cs="David"/>
          <w:sz w:val="24"/>
          <w:szCs w:val="24"/>
          <w:u w:val="single"/>
          <w:rtl/>
        </w:rPr>
        <w:t xml:space="preserve"> </w:t>
      </w:r>
    </w:p>
    <w:p w:rsidR="00A35E65" w:rsidRPr="00A35E65" w:rsidRDefault="00A35E65" w:rsidP="00A35E65">
      <w:pPr>
        <w:spacing w:before="240" w:after="0" w:line="360" w:lineRule="auto"/>
        <w:jc w:val="both"/>
        <w:rPr>
          <w:rFonts w:ascii="David" w:eastAsia="Times New Roman" w:hAnsi="David" w:cs="David"/>
          <w:noProof/>
          <w:sz w:val="24"/>
          <w:szCs w:val="24"/>
          <w:rtl/>
        </w:rPr>
      </w:pPr>
      <w:r w:rsidRPr="00A35E65">
        <w:rPr>
          <w:rFonts w:ascii="David" w:eastAsia="Times New Roman" w:hAnsi="David" w:cs="David"/>
          <w:sz w:val="24"/>
          <w:szCs w:val="24"/>
          <w:rtl/>
        </w:rPr>
        <w:t xml:space="preserve">הגם שהעדה מנהלת מרכז "תפנית" ומלווה ילדים בגילים 4-18 המאובחנים עם הפרעות שונות כמו הפרעות קשב וריכוז, בעיות התנגדות ואוטיזם, ואף ששיתפה בסיפורה האישי באופן נרגש, התברר כי גם היא אינה מכירה את מערכת החינוך בקרית מלאכי, לא מכירה את הנאשמים או הקטין , לפיכך לא ניתן להסיק מעדותה למקרה דנן ואף לא להשליך מהחוויה האישית  שעברה על הנאשמים או הקטין בענייננו.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עדות הנאשמת:</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הנאשמת העידה כי מנהלת בית-הספר התקשרה אליה והודיעה לה כי אם לא תשלח את הקטין למסגרת החינוכית, עניינו יכול להגיע לבית-משפט וייקחו לה את ילדיה. </w:t>
      </w:r>
    </w:p>
    <w:p w:rsidR="00A35E65" w:rsidRPr="00A35E65" w:rsidRDefault="00A35E65" w:rsidP="00A35E65">
      <w:pPr>
        <w:spacing w:before="72" w:after="0" w:line="240" w:lineRule="auto"/>
        <w:ind w:right="1134"/>
        <w:rPr>
          <w:rFonts w:ascii="David" w:eastAsia="Times New Roman" w:hAnsi="David" w:cs="David"/>
          <w:color w:val="FF0000"/>
          <w:sz w:val="24"/>
          <w:szCs w:val="24"/>
          <w:rtl/>
        </w:rPr>
      </w:pPr>
      <w:r w:rsidRPr="00A35E65">
        <w:rPr>
          <w:rFonts w:ascii="David" w:eastAsia="Times New Roman" w:hAnsi="David" w:cs="David"/>
          <w:sz w:val="24"/>
          <w:szCs w:val="24"/>
          <w:rtl/>
        </w:rPr>
        <w:t xml:space="preserve">הנאשמת מאשרת, כי הקב"ס  הינו קרוב משפחה שלה, בן אחיה ( עמ'17 פרו' שו' 6)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לטענתה הוא לא רצה לטפל בעניינם.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באשר לסיבות אי-שליחת הקטין למוסד חינוכי מוכר העידה הנאשמת מספר טיעונים לדעתה: המערכת החינוכית מעדיפה קידום תפקוד לימודי ומתעלמת מרגשות התלמידים או מקשיים, שהם עוברים כגון החרמות, דיכאונות או הצקות; המערכת מעבירה תכנים שנוגדים את האמונה שלה כמו חינוך מיני – תכנים שעשויים לבלבל תלמידים מבחינה מגדרית ; המערכת מחסנת בבית הספר ילדים בחיסונים בניגוד לדעת הוריהם.</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לדברי הנאשמת היא מתנגדת לחיסונים וכי מסקנתה לגבי התנהלות בתי ספר ביחס לחיסונים למדה  מ "...עדויות של הורים" ( עמ'  18לפרו' שו'  17-18 ).  </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b/>
          <w:bCs/>
          <w:sz w:val="24"/>
          <w:szCs w:val="24"/>
          <w:rtl/>
        </w:rPr>
        <w:lastRenderedPageBreak/>
        <w:t>עדויות שבית הספר קרית מלאכי או בתי ספר אחרים פעלו בניגוד לדעת הורים לא הובאו בפני בית המשפט.</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הנאשמת ציינה כי האידאולוגיה שלה היא לחנך את הקטין תוך כדי תנועה ובטבע, ולא בתוך מקום סגור, על מנת שילמד בדרך טבעית על פי רצונותיו.</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הנאשמת העידה שהקטין נפגש עם בני גילו, מצוי ברכיבה טיפולית, לומד יחד עם אחרים.  העדה לא פרטה תכנית לימודים מובנית ומסודרת כלשהי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הנאשמת אישרה בחקירה הנגדית, כי הקטין אינו לומד באמצעות מורים פרטיים אלא רק באמצעות הנאשמים ( עמ' 18 לפרו/ שו' 5-6 ).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במהלך עדותה הוגשה תמונה של כותרת של כתבה, "משרד החינוך: עלייה מדאיגה במצוקתם הרגשית של תלמידי ישראל", שנכתבה על-ידי נועם (דבול) דביר ואשר פורסמה ביום 17 בינואר, 2022 ( נ/1 ) </w:t>
      </w:r>
      <w:r w:rsidRPr="00A35E65">
        <w:rPr>
          <w:rFonts w:ascii="David" w:eastAsia="Times New Roman" w:hAnsi="David" w:cs="David"/>
          <w:b/>
          <w:bCs/>
          <w:sz w:val="18"/>
          <w:szCs w:val="18"/>
          <w:rtl/>
        </w:rPr>
        <w:footnoteReference w:id="2"/>
      </w:r>
      <w:r w:rsidRPr="00A35E65">
        <w:rPr>
          <w:rFonts w:ascii="David" w:eastAsia="Times New Roman" w:hAnsi="David" w:cs="David"/>
          <w:b/>
          <w:bCs/>
          <w:sz w:val="18"/>
          <w:szCs w:val="18"/>
          <w:rtl/>
        </w:rPr>
        <w:t xml:space="preserve"> </w:t>
      </w:r>
      <w:r w:rsidRPr="00A35E65">
        <w:rPr>
          <w:rFonts w:ascii="David" w:eastAsia="Times New Roman" w:hAnsi="David" w:cs="David"/>
          <w:sz w:val="24"/>
          <w:szCs w:val="24"/>
          <w:rtl/>
        </w:rPr>
        <w:t xml:space="preserve">  אף שברור על פני הדברים כי במועד ההחלטה על אי משלוח הקטין למסגרת חינוכית- ספטמבר 2021,  הנאשמת לא יכלה להיחשף לאמור בנ/1 הואיל וזו פורסמה אך בינואר 2022 .</w:t>
      </w:r>
    </w:p>
    <w:p w:rsidR="00A35E65" w:rsidRPr="00A35E65" w:rsidRDefault="00A35E65" w:rsidP="00A35E65">
      <w:pPr>
        <w:tabs>
          <w:tab w:val="left" w:pos="85"/>
        </w:tabs>
        <w:snapToGrid w:val="0"/>
        <w:spacing w:after="0" w:line="360" w:lineRule="auto"/>
        <w:ind w:left="-57" w:firstLine="57"/>
        <w:jc w:val="both"/>
        <w:rPr>
          <w:rFonts w:ascii="Arial" w:eastAsia="Times New Roman" w:hAnsi="Arial" w:cs="David"/>
          <w:sz w:val="28"/>
          <w:szCs w:val="26"/>
          <w:rtl/>
          <w:lang w:eastAsia="he-IL"/>
        </w:rPr>
      </w:pPr>
      <w:r w:rsidRPr="00A35E65">
        <w:rPr>
          <w:rFonts w:ascii="Arial" w:eastAsia="Times New Roman" w:hAnsi="Arial" w:cs="David"/>
          <w:sz w:val="28"/>
          <w:szCs w:val="26"/>
          <w:rtl/>
          <w:lang w:eastAsia="he-IL"/>
        </w:rPr>
        <w:t xml:space="preserve">וכך עולה משאלות </w:t>
      </w:r>
      <w:r w:rsidRPr="00A35E65">
        <w:rPr>
          <w:rFonts w:ascii="Arial" w:eastAsia="Times New Roman" w:hAnsi="Arial" w:cs="David"/>
          <w:sz w:val="24"/>
          <w:szCs w:val="24"/>
          <w:rtl/>
          <w:lang w:eastAsia="he-IL"/>
        </w:rPr>
        <w:t>לענין זה בחקירתה הנגדית של הנאשמת</w:t>
      </w:r>
      <w:r w:rsidRPr="00A35E65">
        <w:rPr>
          <w:rFonts w:ascii="Arial" w:eastAsia="Times New Roman" w:hAnsi="Arial" w:cs="David"/>
          <w:sz w:val="28"/>
          <w:szCs w:val="26"/>
          <w:rtl/>
          <w:lang w:eastAsia="he-IL"/>
        </w:rPr>
        <w:t xml:space="preserve">  : </w:t>
      </w:r>
    </w:p>
    <w:p w:rsidR="00A35E65" w:rsidRPr="00A35E65" w:rsidRDefault="00A35E65" w:rsidP="00A35E65">
      <w:pPr>
        <w:tabs>
          <w:tab w:val="left" w:pos="720"/>
        </w:tabs>
        <w:snapToGrid w:val="0"/>
        <w:spacing w:after="0" w:line="360" w:lineRule="auto"/>
        <w:ind w:left="720" w:hanging="720"/>
        <w:jc w:val="both"/>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 xml:space="preserve">"ש: הכתבה שעוה"ד הגיש מתי ראית אותה? </w:t>
      </w:r>
    </w:p>
    <w:p w:rsidR="00A35E65" w:rsidRPr="00A35E65" w:rsidRDefault="00A35E65" w:rsidP="00A35E65">
      <w:pPr>
        <w:tabs>
          <w:tab w:val="left" w:pos="720"/>
        </w:tabs>
        <w:snapToGrid w:val="0"/>
        <w:spacing w:after="0" w:line="360" w:lineRule="auto"/>
        <w:ind w:left="720" w:hanging="720"/>
        <w:jc w:val="both"/>
        <w:rPr>
          <w:rFonts w:ascii="Arial" w:eastAsia="Times New Roman" w:hAnsi="Arial" w:cs="David"/>
          <w:sz w:val="28"/>
          <w:szCs w:val="26"/>
          <w:rtl/>
          <w:lang w:eastAsia="he-IL"/>
        </w:rPr>
      </w:pPr>
      <w:r w:rsidRPr="00A35E65">
        <w:rPr>
          <w:rFonts w:ascii="Arial" w:eastAsia="Times New Roman" w:hAnsi="Arial" w:cs="David"/>
          <w:sz w:val="24"/>
          <w:szCs w:val="24"/>
          <w:rtl/>
          <w:lang w:eastAsia="he-IL"/>
        </w:rPr>
        <w:t>ת:</w:t>
      </w:r>
      <w:r w:rsidRPr="00A35E65">
        <w:rPr>
          <w:rFonts w:ascii="Arial" w:eastAsia="Times New Roman" w:hAnsi="Arial" w:cs="David"/>
          <w:sz w:val="24"/>
          <w:szCs w:val="24"/>
          <w:rtl/>
          <w:lang w:eastAsia="he-IL"/>
        </w:rPr>
        <w:tab/>
        <w:t>זה היה די מזמן ואני לא זוכרת</w:t>
      </w:r>
      <w:r w:rsidRPr="00A35E65">
        <w:rPr>
          <w:rFonts w:ascii="Arial" w:eastAsia="Times New Roman" w:hAnsi="Arial" w:cs="David"/>
          <w:sz w:val="28"/>
          <w:szCs w:val="26"/>
          <w:rtl/>
          <w:lang w:eastAsia="he-IL"/>
        </w:rPr>
        <w:t>.</w:t>
      </w:r>
    </w:p>
    <w:p w:rsidR="00A35E65" w:rsidRPr="00A35E65" w:rsidRDefault="00A35E65" w:rsidP="00A35E65">
      <w:pPr>
        <w:tabs>
          <w:tab w:val="left" w:pos="720"/>
        </w:tabs>
        <w:snapToGrid w:val="0"/>
        <w:spacing w:after="0" w:line="360" w:lineRule="auto"/>
        <w:ind w:left="720" w:hanging="720"/>
        <w:jc w:val="both"/>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ש:</w:t>
      </w:r>
      <w:r w:rsidRPr="00A35E65">
        <w:rPr>
          <w:rFonts w:ascii="Arial" w:eastAsia="Times New Roman" w:hAnsi="Arial" w:cs="David"/>
          <w:b/>
          <w:bCs/>
          <w:sz w:val="28"/>
          <w:szCs w:val="26"/>
          <w:rtl/>
          <w:lang w:eastAsia="he-IL"/>
        </w:rPr>
        <w:tab/>
        <w:t xml:space="preserve">תסכימי איתי שבספטמבר 2021 לא ראית את הכתבה המדוברת? </w:t>
      </w:r>
    </w:p>
    <w:p w:rsidR="00A35E65" w:rsidRPr="00A35E65" w:rsidRDefault="00A35E65" w:rsidP="00A35E65">
      <w:pPr>
        <w:numPr>
          <w:ilvl w:val="0"/>
          <w:numId w:val="2"/>
        </w:numPr>
        <w:snapToGrid w:val="0"/>
        <w:spacing w:after="0" w:line="360" w:lineRule="auto"/>
        <w:jc w:val="both"/>
        <w:rPr>
          <w:rFonts w:ascii="Arial" w:eastAsia="Times New Roman" w:hAnsi="Arial" w:cs="David"/>
          <w:b/>
          <w:sz w:val="28"/>
          <w:szCs w:val="26"/>
          <w:rtl/>
          <w:lang w:eastAsia="he-IL"/>
        </w:rPr>
      </w:pPr>
      <w:r w:rsidRPr="00A35E65">
        <w:rPr>
          <w:rFonts w:ascii="Arial" w:eastAsia="Times New Roman" w:hAnsi="Arial" w:cs="David"/>
          <w:b/>
          <w:sz w:val="28"/>
          <w:szCs w:val="26"/>
          <w:rtl/>
          <w:lang w:eastAsia="he-IL"/>
        </w:rPr>
        <w:t>יש לי סיבות אחרות. "</w:t>
      </w:r>
    </w:p>
    <w:p w:rsidR="00A35E65" w:rsidRPr="00A35E65" w:rsidRDefault="00A35E65" w:rsidP="00A35E65">
      <w:pPr>
        <w:numPr>
          <w:ilvl w:val="0"/>
          <w:numId w:val="4"/>
        </w:numPr>
        <w:snapToGrid w:val="0"/>
        <w:spacing w:after="0" w:line="360" w:lineRule="auto"/>
        <w:jc w:val="both"/>
        <w:rPr>
          <w:rFonts w:ascii="Arial" w:eastAsia="Times New Roman" w:hAnsi="Arial" w:cs="David"/>
          <w:b/>
          <w:bCs/>
          <w:sz w:val="28"/>
          <w:szCs w:val="26"/>
          <w:lang w:eastAsia="he-IL"/>
        </w:rPr>
      </w:pPr>
      <w:r w:rsidRPr="00A35E65">
        <w:rPr>
          <w:rFonts w:ascii="Arial" w:eastAsia="Times New Roman" w:hAnsi="Arial" w:cs="David"/>
          <w:b/>
          <w:bCs/>
          <w:sz w:val="28"/>
          <w:szCs w:val="26"/>
          <w:rtl/>
          <w:lang w:eastAsia="he-IL"/>
        </w:rPr>
        <w:t>את לא עונה לשאלה. מתי קראת את הכתבה לראשונה?</w:t>
      </w:r>
    </w:p>
    <w:p w:rsidR="00A35E65" w:rsidRPr="00A35E65" w:rsidRDefault="00A35E65" w:rsidP="00A35E65">
      <w:pPr>
        <w:numPr>
          <w:ilvl w:val="0"/>
          <w:numId w:val="2"/>
        </w:numPr>
        <w:snapToGrid w:val="0"/>
        <w:spacing w:after="0" w:line="360" w:lineRule="auto"/>
        <w:jc w:val="both"/>
        <w:rPr>
          <w:rFonts w:ascii="Arial" w:eastAsia="Times New Roman" w:hAnsi="Arial" w:cs="David"/>
          <w:b/>
          <w:sz w:val="28"/>
          <w:szCs w:val="26"/>
          <w:rtl/>
          <w:lang w:eastAsia="he-IL"/>
        </w:rPr>
      </w:pPr>
      <w:r w:rsidRPr="00A35E65">
        <w:rPr>
          <w:rFonts w:ascii="Arial" w:eastAsia="Times New Roman" w:hAnsi="Arial" w:cs="David"/>
          <w:b/>
          <w:sz w:val="28"/>
          <w:szCs w:val="26"/>
          <w:rtl/>
          <w:lang w:eastAsia="he-IL"/>
        </w:rPr>
        <w:t xml:space="preserve">אמרתי אני לא זוכרת. "  </w:t>
      </w:r>
    </w:p>
    <w:p w:rsidR="00A35E65" w:rsidRPr="00A35E65" w:rsidRDefault="00A35E65" w:rsidP="00A35E65">
      <w:pPr>
        <w:tabs>
          <w:tab w:val="left" w:pos="720"/>
        </w:tabs>
        <w:snapToGrid w:val="0"/>
        <w:spacing w:after="0" w:line="360" w:lineRule="auto"/>
        <w:ind w:left="3600" w:firstLine="720"/>
        <w:jc w:val="both"/>
        <w:rPr>
          <w:rFonts w:ascii="Arial" w:eastAsia="Times New Roman" w:hAnsi="Arial" w:cs="David"/>
          <w:b/>
          <w:sz w:val="28"/>
          <w:szCs w:val="26"/>
          <w:rtl/>
          <w:lang w:eastAsia="he-IL"/>
        </w:rPr>
      </w:pPr>
      <w:r w:rsidRPr="00A35E65">
        <w:rPr>
          <w:rFonts w:ascii="Arial" w:eastAsia="Times New Roman" w:hAnsi="Arial" w:cs="David"/>
          <w:b/>
          <w:sz w:val="28"/>
          <w:szCs w:val="26"/>
          <w:rtl/>
          <w:lang w:eastAsia="he-IL"/>
        </w:rPr>
        <w:t xml:space="preserve"> ( עמ' 17 לפרו', שו' 20-25  )</w:t>
      </w:r>
    </w:p>
    <w:p w:rsidR="00A35E65" w:rsidRPr="00A35E65" w:rsidRDefault="00A35E65" w:rsidP="00A35E65">
      <w:pPr>
        <w:spacing w:before="240" w:after="0" w:line="360" w:lineRule="auto"/>
        <w:jc w:val="both"/>
        <w:rPr>
          <w:rFonts w:ascii="David" w:eastAsia="Times New Roman" w:hAnsi="David" w:cs="David"/>
          <w:sz w:val="24"/>
          <w:szCs w:val="24"/>
        </w:rPr>
      </w:pPr>
      <w:r w:rsidRPr="00A35E65">
        <w:rPr>
          <w:rFonts w:ascii="David" w:eastAsia="Times New Roman" w:hAnsi="David" w:cs="David"/>
          <w:sz w:val="24"/>
          <w:szCs w:val="24"/>
          <w:rtl/>
        </w:rPr>
        <w:t xml:space="preserve">בית המשפט אינו רואה את הקשר והרלוונטיות בין תוכן הכתבה לעניינו של הקטין או הוריו , קשר שלא הוכח זאת בנוסף לעובדה שהכתבה לא הוגשה באמצעות עורכה ולא ניתן לחקור אותו על הנתונים והמסקנות הנוגעים לה. (בגוף הכתבה יש התייחסות לבידודים (כפי הנראה על רקע הקורונה)  והכותב סבור שיש להימנע מהם בשל השלכות שיכולות להיות על ילדים בריאים ) .  </w:t>
      </w:r>
    </w:p>
    <w:p w:rsidR="00A35E65" w:rsidRPr="00A35E65" w:rsidRDefault="00A35E65" w:rsidP="00A35E65">
      <w:pPr>
        <w:spacing w:before="240" w:after="0" w:line="360" w:lineRule="auto"/>
        <w:jc w:val="both"/>
        <w:rPr>
          <w:rFonts w:ascii="David" w:eastAsia="Times New Roman" w:hAnsi="David" w:cs="David"/>
          <w:sz w:val="24"/>
          <w:szCs w:val="24"/>
        </w:rPr>
      </w:pPr>
      <w:r w:rsidRPr="00A35E65">
        <w:rPr>
          <w:rFonts w:ascii="David" w:eastAsia="Times New Roman" w:hAnsi="David" w:cs="David"/>
          <w:b/>
          <w:bCs/>
          <w:sz w:val="24"/>
          <w:szCs w:val="24"/>
          <w:rtl/>
        </w:rPr>
        <w:t>באשר לתכני הלימוד של הקטין והשוואת ידיעותיו לקבוצת בני השווים</w:t>
      </w:r>
      <w:r w:rsidRPr="00A35E65">
        <w:rPr>
          <w:rFonts w:ascii="David" w:eastAsia="Times New Roman" w:hAnsi="David" w:cs="David"/>
          <w:sz w:val="24"/>
          <w:szCs w:val="24"/>
          <w:rtl/>
        </w:rPr>
        <w:t xml:space="preserve"> לו השיבה הנאשמת לשאלות ביהמ"ש,  כי היא קונה חוברות לימוד ומלמדת את הקטין גם באמצעותן וגם בעל-פה ( עמ' 18 לפרו', שו' 11-12 ) וכי אינה משווה את הקטין לאחרים בני גילו, שכן גם בתוככי הכיתות קיים פער בין תלמיד זה לאחר (עמ' 19 לפרו', שו' 9-10 )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וכך עולה מעדותה : </w:t>
      </w:r>
    </w:p>
    <w:p w:rsidR="00A35E65" w:rsidRPr="00A35E65" w:rsidRDefault="00A35E65" w:rsidP="00A35E65">
      <w:pPr>
        <w:numPr>
          <w:ilvl w:val="0"/>
          <w:numId w:val="4"/>
        </w:numPr>
        <w:snapToGrid w:val="0"/>
        <w:spacing w:after="0" w:line="360" w:lineRule="auto"/>
        <w:jc w:val="both"/>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 xml:space="preserve">"האם את יודעת מה המצב הלימודי של הילד שלך בהשוואה ביחס לבני גילו? </w:t>
      </w:r>
    </w:p>
    <w:p w:rsidR="00A35E65" w:rsidRPr="00A35E65" w:rsidRDefault="00A35E65" w:rsidP="00A35E65">
      <w:pPr>
        <w:numPr>
          <w:ilvl w:val="0"/>
          <w:numId w:val="2"/>
        </w:numPr>
        <w:snapToGrid w:val="0"/>
        <w:spacing w:after="0" w:line="360" w:lineRule="auto"/>
        <w:jc w:val="both"/>
        <w:rPr>
          <w:rFonts w:ascii="Arial" w:eastAsia="Times New Roman" w:hAnsi="Arial" w:cs="David"/>
          <w:b/>
          <w:sz w:val="28"/>
          <w:szCs w:val="26"/>
          <w:rtl/>
          <w:lang w:eastAsia="he-IL"/>
        </w:rPr>
      </w:pPr>
      <w:r w:rsidRPr="00A35E65">
        <w:rPr>
          <w:rFonts w:ascii="Arial" w:eastAsia="Times New Roman" w:hAnsi="Arial" w:cs="David"/>
          <w:b/>
          <w:sz w:val="24"/>
          <w:szCs w:val="24"/>
          <w:rtl/>
          <w:lang w:eastAsia="he-IL"/>
        </w:rPr>
        <w:t>יש דברים שהוא חזק בהם ויש דברים שהוא פחות , ופה אנו מחזקים אותו.  באנגלית הוא יותר טוב מבני גילו</w:t>
      </w:r>
      <w:r w:rsidRPr="00A35E65">
        <w:rPr>
          <w:rFonts w:ascii="Arial" w:eastAsia="Times New Roman" w:hAnsi="Arial" w:cs="David"/>
          <w:b/>
          <w:sz w:val="28"/>
          <w:szCs w:val="26"/>
          <w:rtl/>
          <w:lang w:eastAsia="he-IL"/>
        </w:rPr>
        <w:t>. " ( עמ' 18 לפרו', שו' 19-21)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lastRenderedPageBreak/>
        <w:t>באשר לכישוריה ללמד</w:t>
      </w:r>
      <w:r w:rsidRPr="00A35E65">
        <w:rPr>
          <w:rFonts w:ascii="David" w:eastAsia="Times New Roman" w:hAnsi="David" w:cs="David"/>
          <w:sz w:val="24"/>
          <w:szCs w:val="24"/>
          <w:rtl/>
        </w:rPr>
        <w:t xml:space="preserve"> השיבה הנאשמת, כי היא בוגרת 12 שנות לימוד, בעלת בגרות חלקית, ללא הכשרה מקצועית; ( עמ' 19 שו' 8-9 ).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באשר לבחינת יכולותיו של הקטין</w:t>
      </w:r>
      <w:r w:rsidRPr="00A35E65">
        <w:rPr>
          <w:rFonts w:ascii="David" w:eastAsia="Times New Roman" w:hAnsi="David" w:cs="David"/>
          <w:sz w:val="24"/>
          <w:szCs w:val="24"/>
          <w:rtl/>
        </w:rPr>
        <w:t xml:space="preserve"> (במטרה לבחון איזו תכנית לימודים מתאימה לקטין, שיש לו צרכים מיוחדים), השיבה הנאשמת כי הקטין לא עבר מבחנים על-ידי גורם חינוכי אובייקטיבי (עמ' 18 לפרו' שו' 25-26 ); הקטין לא עבר בחינה פסיכו-דיאגנוסטית ( שם , שו' 29 , עמ' 19 שו' 1 ); הקטין לא עבר בחינות כלשהן בתחום הלימודי הנוגעות ליכולותיו או קשייו .  לדברי הנאשמת :  </w:t>
      </w:r>
    </w:p>
    <w:p w:rsidR="00A35E65" w:rsidRPr="00A35E65" w:rsidRDefault="00A35E65" w:rsidP="00A35E65">
      <w:pPr>
        <w:numPr>
          <w:ilvl w:val="0"/>
          <w:numId w:val="2"/>
        </w:numPr>
        <w:snapToGrid w:val="0"/>
        <w:spacing w:after="0" w:line="360" w:lineRule="auto"/>
        <w:jc w:val="both"/>
        <w:rPr>
          <w:rFonts w:ascii="Arial" w:eastAsia="Times New Roman" w:hAnsi="Arial" w:cs="David"/>
          <w:b/>
          <w:sz w:val="28"/>
          <w:szCs w:val="26"/>
          <w:lang w:eastAsia="he-IL"/>
        </w:rPr>
      </w:pPr>
      <w:r w:rsidRPr="00A35E65">
        <w:rPr>
          <w:rFonts w:ascii="David" w:eastAsia="Times New Roman" w:hAnsi="David" w:cs="David"/>
          <w:b/>
          <w:sz w:val="28"/>
          <w:szCs w:val="26"/>
          <w:rtl/>
          <w:lang w:eastAsia="he-IL"/>
        </w:rPr>
        <w:t xml:space="preserve">: </w:t>
      </w:r>
      <w:r w:rsidRPr="00A35E65">
        <w:rPr>
          <w:rFonts w:ascii="David" w:eastAsia="Times New Roman" w:hAnsi="David" w:cs="David"/>
          <w:bCs/>
          <w:sz w:val="28"/>
          <w:szCs w:val="26"/>
          <w:rtl/>
          <w:lang w:eastAsia="he-IL"/>
        </w:rPr>
        <w:t xml:space="preserve">" </w:t>
      </w:r>
      <w:r w:rsidRPr="00A35E65">
        <w:rPr>
          <w:rFonts w:ascii="Arial" w:eastAsia="Times New Roman" w:hAnsi="Arial" w:cs="David"/>
          <w:bCs/>
          <w:sz w:val="28"/>
          <w:szCs w:val="26"/>
          <w:rtl/>
          <w:lang w:eastAsia="he-IL"/>
        </w:rPr>
        <w:t>יש רופא התפתחות, אבל הוא לא שלח למבחנים . הוא שלח לרכיבה טיפולית."</w:t>
      </w:r>
      <w:r w:rsidRPr="00A35E65">
        <w:rPr>
          <w:rFonts w:ascii="Arial" w:eastAsia="Times New Roman" w:hAnsi="Arial" w:cs="David"/>
          <w:b/>
          <w:sz w:val="28"/>
          <w:szCs w:val="26"/>
          <w:rtl/>
          <w:lang w:eastAsia="he-IL"/>
        </w:rPr>
        <w:t xml:space="preserve"> ( עמ' 19, שו' 4-5 ).</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 xml:space="preserve">הנאשמת אישרה כי אינה שולחת את הילד לבית הספר. </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sz w:val="28"/>
          <w:szCs w:val="26"/>
          <w:rtl/>
          <w:lang w:eastAsia="he-IL"/>
        </w:rPr>
      </w:pPr>
      <w:r w:rsidRPr="00A35E65">
        <w:rPr>
          <w:rFonts w:ascii="Arial" w:eastAsia="Times New Roman" w:hAnsi="Arial" w:cs="David"/>
          <w:b/>
          <w:sz w:val="28"/>
          <w:szCs w:val="26"/>
          <w:rtl/>
          <w:lang w:eastAsia="he-IL"/>
        </w:rPr>
        <w:t xml:space="preserve">לשאלת ב"כ המאשימה : </w:t>
      </w:r>
    </w:p>
    <w:p w:rsidR="00A35E65" w:rsidRPr="00A35E65" w:rsidRDefault="00A35E65" w:rsidP="00A35E65">
      <w:pPr>
        <w:numPr>
          <w:ilvl w:val="0"/>
          <w:numId w:val="4"/>
        </w:numPr>
        <w:snapToGrid w:val="0"/>
        <w:spacing w:after="0" w:line="360" w:lineRule="auto"/>
        <w:jc w:val="both"/>
        <w:rPr>
          <w:rFonts w:ascii="Arial" w:eastAsia="Times New Roman" w:hAnsi="Arial" w:cs="David"/>
          <w:b/>
          <w:bCs/>
          <w:sz w:val="24"/>
          <w:szCs w:val="24"/>
          <w:rtl/>
          <w:lang w:eastAsia="he-IL"/>
        </w:rPr>
      </w:pPr>
      <w:r w:rsidRPr="00A35E65">
        <w:rPr>
          <w:rFonts w:ascii="Arial" w:eastAsia="Times New Roman" w:hAnsi="Arial" w:cs="David"/>
          <w:b/>
          <w:bCs/>
          <w:sz w:val="24"/>
          <w:szCs w:val="24"/>
          <w:rtl/>
          <w:lang w:eastAsia="he-IL"/>
        </w:rPr>
        <w:t xml:space="preserve">"תסכימי איתי שלא נתת לבן שלך הזדמנות לחוות מה זה בית ספר? </w:t>
      </w:r>
    </w:p>
    <w:p w:rsidR="00A35E65" w:rsidRPr="00A35E65" w:rsidRDefault="00A35E65" w:rsidP="00A35E65">
      <w:pPr>
        <w:tabs>
          <w:tab w:val="left" w:pos="720"/>
        </w:tabs>
        <w:snapToGrid w:val="0"/>
        <w:spacing w:after="0" w:line="360" w:lineRule="auto"/>
        <w:jc w:val="both"/>
        <w:rPr>
          <w:rFonts w:ascii="Arial" w:eastAsia="Times New Roman" w:hAnsi="Arial" w:cs="David"/>
          <w:b/>
          <w:sz w:val="24"/>
          <w:szCs w:val="24"/>
          <w:rtl/>
          <w:lang w:eastAsia="he-IL"/>
        </w:rPr>
      </w:pPr>
      <w:r w:rsidRPr="00A35E65">
        <w:rPr>
          <w:rFonts w:ascii="Arial" w:eastAsia="Times New Roman" w:hAnsi="Arial" w:cs="David"/>
          <w:b/>
          <w:sz w:val="24"/>
          <w:szCs w:val="24"/>
          <w:rtl/>
          <w:lang w:eastAsia="he-IL"/>
        </w:rPr>
        <w:t xml:space="preserve">השיבה : </w:t>
      </w:r>
    </w:p>
    <w:p w:rsidR="00A35E65" w:rsidRPr="00A35E65" w:rsidRDefault="00A35E65" w:rsidP="00A35E65">
      <w:pPr>
        <w:numPr>
          <w:ilvl w:val="0"/>
          <w:numId w:val="2"/>
        </w:numPr>
        <w:snapToGrid w:val="0"/>
        <w:spacing w:after="0" w:line="360" w:lineRule="auto"/>
        <w:jc w:val="both"/>
        <w:rPr>
          <w:rFonts w:ascii="Arial" w:eastAsia="Times New Roman" w:hAnsi="Arial" w:cs="David"/>
          <w:b/>
          <w:sz w:val="28"/>
          <w:szCs w:val="26"/>
          <w:rtl/>
          <w:lang w:eastAsia="he-IL"/>
        </w:rPr>
      </w:pPr>
      <w:r w:rsidRPr="00A35E65">
        <w:rPr>
          <w:rFonts w:ascii="Arial" w:eastAsia="Times New Roman" w:hAnsi="Arial" w:cs="David"/>
          <w:b/>
          <w:sz w:val="24"/>
          <w:szCs w:val="24"/>
          <w:rtl/>
          <w:lang w:eastAsia="he-IL"/>
        </w:rPr>
        <w:t>לא מחסירה מהבן שלי כלום.</w:t>
      </w:r>
      <w:r w:rsidRPr="00A35E65">
        <w:rPr>
          <w:rFonts w:ascii="Arial" w:eastAsia="Times New Roman" w:hAnsi="Arial" w:cs="David"/>
          <w:b/>
          <w:sz w:val="28"/>
          <w:szCs w:val="26"/>
          <w:rtl/>
          <w:lang w:eastAsia="he-IL"/>
        </w:rPr>
        <w:t xml:space="preserve">  " עמ' 18' שור 1-2 ).</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bCs/>
          <w:sz w:val="28"/>
          <w:szCs w:val="26"/>
          <w:rtl/>
          <w:lang w:eastAsia="he-IL"/>
        </w:rPr>
      </w:pPr>
    </w:p>
    <w:p w:rsidR="00A35E65" w:rsidRPr="00A35E65" w:rsidRDefault="00A35E65" w:rsidP="00A35E65">
      <w:pPr>
        <w:numPr>
          <w:ilvl w:val="0"/>
          <w:numId w:val="4"/>
        </w:numPr>
        <w:snapToGrid w:val="0"/>
        <w:spacing w:after="0" w:line="360" w:lineRule="auto"/>
        <w:jc w:val="both"/>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"לשאלת בית המשפט: האם דאגת שהילד יגיע לבית הספר ולו ליום אחד?</w:t>
      </w:r>
    </w:p>
    <w:p w:rsidR="00A35E65" w:rsidRPr="00A35E65" w:rsidRDefault="00A35E65" w:rsidP="00A35E65">
      <w:pPr>
        <w:tabs>
          <w:tab w:val="left" w:pos="720"/>
        </w:tabs>
        <w:snapToGrid w:val="0"/>
        <w:spacing w:after="0" w:line="360" w:lineRule="auto"/>
        <w:jc w:val="both"/>
        <w:rPr>
          <w:rFonts w:ascii="Arial" w:eastAsia="Times New Roman" w:hAnsi="Arial" w:cs="David"/>
          <w:b/>
          <w:bCs/>
          <w:sz w:val="28"/>
          <w:szCs w:val="26"/>
          <w:lang w:eastAsia="he-IL"/>
        </w:rPr>
      </w:pPr>
      <w:r w:rsidRPr="00A35E65">
        <w:rPr>
          <w:rFonts w:ascii="Arial" w:eastAsia="Times New Roman" w:hAnsi="Arial" w:cs="David"/>
          <w:b/>
          <w:bCs/>
          <w:sz w:val="28"/>
          <w:szCs w:val="26"/>
          <w:rtl/>
          <w:lang w:eastAsia="he-IL"/>
        </w:rPr>
        <w:t>השיבה:</w:t>
      </w:r>
    </w:p>
    <w:p w:rsidR="00A35E65" w:rsidRPr="00A35E65" w:rsidRDefault="00A35E65" w:rsidP="00A35E65">
      <w:pPr>
        <w:numPr>
          <w:ilvl w:val="0"/>
          <w:numId w:val="2"/>
        </w:numPr>
        <w:snapToGrid w:val="0"/>
        <w:spacing w:after="0" w:line="360" w:lineRule="auto"/>
        <w:jc w:val="both"/>
        <w:rPr>
          <w:rFonts w:ascii="Arial" w:eastAsia="Times New Roman" w:hAnsi="Arial" w:cs="David"/>
          <w:b/>
          <w:sz w:val="28"/>
          <w:szCs w:val="26"/>
          <w:rtl/>
          <w:lang w:eastAsia="he-IL"/>
        </w:rPr>
      </w:pPr>
      <w:r w:rsidRPr="00A35E65">
        <w:rPr>
          <w:rFonts w:ascii="Arial" w:eastAsia="Times New Roman" w:hAnsi="Arial" w:cs="David"/>
          <w:b/>
          <w:sz w:val="24"/>
          <w:szCs w:val="24"/>
          <w:rtl/>
          <w:lang w:eastAsia="he-IL"/>
        </w:rPr>
        <w:t>"לא, הוא לא היה</w:t>
      </w:r>
      <w:r w:rsidRPr="00A35E65">
        <w:rPr>
          <w:rFonts w:ascii="Arial" w:eastAsia="Times New Roman" w:hAnsi="Arial" w:cs="David"/>
          <w:b/>
          <w:sz w:val="28"/>
          <w:szCs w:val="26"/>
          <w:rtl/>
          <w:lang w:eastAsia="he-IL"/>
        </w:rPr>
        <w:t xml:space="preserve"> . " עמ' 19 שו' 3-4 ). </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sz w:val="28"/>
          <w:szCs w:val="26"/>
          <w:rtl/>
          <w:lang w:eastAsia="he-IL"/>
        </w:rPr>
      </w:pPr>
    </w:p>
    <w:p w:rsidR="00A35E65" w:rsidRPr="00A35E65" w:rsidRDefault="00A35E65" w:rsidP="00A35E65">
      <w:pPr>
        <w:numPr>
          <w:ilvl w:val="0"/>
          <w:numId w:val="4"/>
        </w:numPr>
        <w:snapToGrid w:val="0"/>
        <w:spacing w:after="0" w:line="360" w:lineRule="auto"/>
        <w:jc w:val="both"/>
        <w:rPr>
          <w:rFonts w:ascii="Arial" w:eastAsia="Times New Roman" w:hAnsi="Arial" w:cs="David"/>
          <w:b/>
          <w:bCs/>
          <w:sz w:val="28"/>
          <w:szCs w:val="26"/>
          <w:lang w:eastAsia="he-IL"/>
        </w:rPr>
      </w:pPr>
      <w:r w:rsidRPr="00A35E65">
        <w:rPr>
          <w:rFonts w:ascii="David" w:eastAsia="Times New Roman" w:hAnsi="David" w:cs="David"/>
          <w:b/>
          <w:bCs/>
          <w:sz w:val="28"/>
          <w:szCs w:val="26"/>
          <w:rtl/>
          <w:lang w:eastAsia="he-IL"/>
        </w:rPr>
        <w:t xml:space="preserve">לשאלה " </w:t>
      </w:r>
      <w:r w:rsidRPr="00A35E65">
        <w:rPr>
          <w:rFonts w:ascii="Arial" w:eastAsia="Times New Roman" w:hAnsi="Arial" w:cs="David"/>
          <w:b/>
          <w:bCs/>
          <w:sz w:val="28"/>
          <w:szCs w:val="26"/>
          <w:rtl/>
          <w:lang w:eastAsia="he-IL"/>
        </w:rPr>
        <w:t xml:space="preserve">אם את  לא שולחת את הילד לבית הספר אז איך את יכולה לקבוע שבית הספר מתמקד רק בקדום ילדים בחינוך בלימודים, לא מתייחס לצדדים </w:t>
      </w:r>
      <w:r w:rsidRPr="00A35E65">
        <w:rPr>
          <w:rFonts w:ascii="Arial" w:eastAsia="Times New Roman" w:hAnsi="Arial" w:cs="David"/>
          <w:b/>
          <w:bCs/>
          <w:sz w:val="28"/>
          <w:szCs w:val="26"/>
          <w:rtl/>
          <w:lang w:eastAsia="he-IL"/>
        </w:rPr>
        <w:br/>
        <w:t xml:space="preserve">הרגשיים." </w:t>
      </w:r>
    </w:p>
    <w:p w:rsidR="00A35E65" w:rsidRPr="00A35E65" w:rsidRDefault="00A35E65" w:rsidP="00A35E65">
      <w:pPr>
        <w:tabs>
          <w:tab w:val="left" w:pos="720"/>
        </w:tabs>
        <w:snapToGrid w:val="0"/>
        <w:spacing w:after="0" w:line="360" w:lineRule="auto"/>
        <w:jc w:val="both"/>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השיבה הנאשמת :</w:t>
      </w:r>
    </w:p>
    <w:p w:rsidR="00A35E65" w:rsidRPr="00A35E65" w:rsidRDefault="00A35E65" w:rsidP="00A35E65">
      <w:pPr>
        <w:tabs>
          <w:tab w:val="left" w:pos="720"/>
        </w:tabs>
        <w:snapToGrid w:val="0"/>
        <w:spacing w:after="0" w:line="360" w:lineRule="auto"/>
        <w:jc w:val="both"/>
        <w:rPr>
          <w:rFonts w:ascii="David" w:eastAsia="Times New Roman" w:hAnsi="David" w:cs="David"/>
          <w:b/>
          <w:sz w:val="28"/>
          <w:szCs w:val="26"/>
          <w:rtl/>
          <w:lang w:eastAsia="he-IL"/>
        </w:rPr>
      </w:pPr>
      <w:r w:rsidRPr="00A35E65">
        <w:rPr>
          <w:rFonts w:ascii="Arial" w:eastAsia="Times New Roman" w:hAnsi="Arial" w:cs="David"/>
          <w:b/>
          <w:sz w:val="28"/>
          <w:szCs w:val="26"/>
          <w:rtl/>
          <w:lang w:eastAsia="he-IL"/>
        </w:rPr>
        <w:t xml:space="preserve">"   </w:t>
      </w:r>
      <w:r w:rsidRPr="00A35E65">
        <w:rPr>
          <w:rFonts w:ascii="Arial" w:eastAsia="Times New Roman" w:hAnsi="Arial" w:cs="David"/>
          <w:bCs/>
          <w:sz w:val="28"/>
          <w:szCs w:val="26"/>
          <w:rtl/>
          <w:lang w:eastAsia="he-IL"/>
        </w:rPr>
        <w:t>זה מה שאפשר לראות בכ"כ הרבה מקרים "</w:t>
      </w:r>
      <w:r w:rsidRPr="00A35E65">
        <w:rPr>
          <w:rFonts w:ascii="David" w:eastAsia="Times New Roman" w:hAnsi="David" w:cs="David"/>
          <w:b/>
          <w:sz w:val="28"/>
          <w:szCs w:val="26"/>
          <w:rtl/>
          <w:lang w:eastAsia="he-IL"/>
        </w:rPr>
        <w:t xml:space="preserve"> ( עמ' 19, שו' 13-15 ).</w:t>
      </w:r>
    </w:p>
    <w:p w:rsidR="00A35E65" w:rsidRPr="00A35E65" w:rsidRDefault="00A35E65" w:rsidP="00A35E65">
      <w:pPr>
        <w:spacing w:before="240" w:after="0" w:line="360" w:lineRule="auto"/>
        <w:jc w:val="both"/>
        <w:rPr>
          <w:rFonts w:ascii="David" w:eastAsia="Times New Roman" w:hAnsi="David" w:cs="David"/>
          <w:b/>
          <w:bCs/>
          <w:sz w:val="24"/>
          <w:szCs w:val="24"/>
          <w:u w:val="single"/>
        </w:rPr>
      </w:pPr>
      <w:r w:rsidRPr="00A35E65">
        <w:rPr>
          <w:rFonts w:ascii="David" w:eastAsia="Times New Roman" w:hAnsi="David" w:cs="David"/>
          <w:b/>
          <w:bCs/>
          <w:sz w:val="24"/>
          <w:szCs w:val="24"/>
          <w:u w:val="single"/>
          <w:rtl/>
        </w:rPr>
        <w:t>דיון והכרעה</w:t>
      </w:r>
    </w:p>
    <w:p w:rsidR="00A35E65" w:rsidRPr="00A35E65" w:rsidRDefault="00A35E65" w:rsidP="00A35E65">
      <w:pPr>
        <w:spacing w:before="240" w:after="0" w:line="360" w:lineRule="auto"/>
        <w:jc w:val="both"/>
        <w:rPr>
          <w:rFonts w:ascii="Arial" w:eastAsia="Times New Roman" w:hAnsi="Arial" w:cs="David"/>
          <w:b/>
          <w:bCs/>
          <w:sz w:val="28"/>
          <w:szCs w:val="28"/>
          <w:u w:val="single"/>
        </w:rPr>
      </w:pPr>
      <w:r w:rsidRPr="00A35E65">
        <w:rPr>
          <w:rFonts w:ascii="David" w:eastAsia="Times New Roman" w:hAnsi="David" w:cs="David"/>
          <w:b/>
          <w:bCs/>
          <w:sz w:val="24"/>
          <w:szCs w:val="24"/>
          <w:u w:val="single"/>
          <w:rtl/>
        </w:rPr>
        <w:t xml:space="preserve">המסגרת הנורמטיבית היא </w:t>
      </w:r>
      <w:hyperlink r:id="rId11" w:anchor="Seif8" w:history="1">
        <w:r w:rsidRPr="00A35E65">
          <w:rPr>
            <w:rFonts w:ascii="Arial" w:eastAsia="Times New Roman" w:hAnsi="Arial" w:cs="David"/>
            <w:b/>
            <w:bCs/>
            <w:color w:val="0000FF"/>
            <w:sz w:val="28"/>
            <w:szCs w:val="28"/>
            <w:u w:val="single"/>
            <w:rtl/>
          </w:rPr>
          <w:t>חוק לימוד חובה 1949</w:t>
        </w:r>
      </w:hyperlink>
    </w:p>
    <w:p w:rsidR="00A35E65" w:rsidRPr="00A35E65" w:rsidRDefault="00A35E65" w:rsidP="00A35E65">
      <w:pPr>
        <w:spacing w:before="72" w:after="0" w:line="240" w:lineRule="auto"/>
        <w:ind w:right="1134"/>
        <w:rPr>
          <w:rFonts w:ascii="David" w:eastAsia="Times New Roman" w:hAnsi="David" w:cs="David"/>
          <w:color w:val="000000"/>
          <w:sz w:val="24"/>
          <w:szCs w:val="24"/>
          <w:rtl/>
        </w:rPr>
      </w:pPr>
      <w:r w:rsidRPr="00A35E65">
        <w:rPr>
          <w:rFonts w:ascii="David" w:eastAsia="Times New Roman" w:hAnsi="David" w:cs="David"/>
          <w:b/>
          <w:bCs/>
          <w:color w:val="008000"/>
          <w:sz w:val="27"/>
          <w:szCs w:val="27"/>
          <w:rtl/>
        </w:rPr>
        <w:t>סעיף 4 לחוק שכותרתו חובת לימוד סדיר (</w:t>
      </w:r>
      <w:r w:rsidRPr="00A35E65">
        <w:rPr>
          <w:rFonts w:ascii="David" w:eastAsia="Times New Roman" w:hAnsi="David" w:cs="David"/>
          <w:b/>
          <w:bCs/>
          <w:color w:val="008000"/>
          <w:sz w:val="25"/>
          <w:szCs w:val="25"/>
          <w:rtl/>
        </w:rPr>
        <w:t xml:space="preserve">תיקון מס' 5) </w:t>
      </w:r>
      <w:r w:rsidRPr="00A35E65">
        <w:rPr>
          <w:rFonts w:ascii="David" w:eastAsia="Times New Roman" w:hAnsi="David" w:cs="David"/>
          <w:b/>
          <w:bCs/>
          <w:color w:val="008000"/>
          <w:sz w:val="27"/>
          <w:szCs w:val="27"/>
          <w:rtl/>
        </w:rPr>
        <w:t>תשכ"ט-</w:t>
      </w:r>
      <w:r w:rsidRPr="00A35E65">
        <w:rPr>
          <w:rFonts w:ascii="David" w:eastAsia="Times New Roman" w:hAnsi="David" w:cs="David"/>
          <w:b/>
          <w:bCs/>
          <w:color w:val="008000"/>
          <w:sz w:val="25"/>
          <w:szCs w:val="25"/>
          <w:rtl/>
        </w:rPr>
        <w:t>1969</w:t>
      </w:r>
      <w:r w:rsidRPr="00A35E65">
        <w:rPr>
          <w:rFonts w:ascii="David" w:eastAsia="Times New Roman" w:hAnsi="David" w:cs="David"/>
          <w:color w:val="000000"/>
          <w:sz w:val="20"/>
          <w:szCs w:val="20"/>
          <w:rtl/>
        </w:rPr>
        <w:t xml:space="preserve"> </w:t>
      </w:r>
      <w:r w:rsidRPr="00A35E65">
        <w:rPr>
          <w:rFonts w:ascii="David" w:eastAsia="Times New Roman" w:hAnsi="David" w:cs="David"/>
          <w:color w:val="000000"/>
          <w:sz w:val="24"/>
          <w:szCs w:val="24"/>
          <w:rtl/>
        </w:rPr>
        <w:t xml:space="preserve">קובע : </w:t>
      </w: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4".    (א)  </w:t>
      </w:r>
      <w:r w:rsidRPr="00A35E65">
        <w:rPr>
          <w:rFonts w:ascii="David" w:eastAsia="Times New Roman" w:hAnsi="David" w:cs="David"/>
          <w:b/>
          <w:bCs/>
          <w:color w:val="000000"/>
          <w:sz w:val="24"/>
          <w:szCs w:val="24"/>
          <w:rtl/>
        </w:rPr>
        <w:t>הורים של ילד בגיל לימוד חובה</w:t>
      </w:r>
      <w:r w:rsidRPr="00A35E65">
        <w:rPr>
          <w:rFonts w:ascii="David" w:eastAsia="Times New Roman" w:hAnsi="David" w:cs="David"/>
          <w:color w:val="000000"/>
          <w:sz w:val="24"/>
          <w:szCs w:val="24"/>
          <w:rtl/>
        </w:rPr>
        <w:t xml:space="preserve">, או של נער בגיל לימוד חובה </w:t>
      </w:r>
      <w:r w:rsidRPr="00A35E65">
        <w:rPr>
          <w:rFonts w:ascii="David" w:eastAsia="Times New Roman" w:hAnsi="David" w:cs="David"/>
          <w:b/>
          <w:bCs/>
          <w:color w:val="000000"/>
          <w:sz w:val="24"/>
          <w:szCs w:val="24"/>
          <w:rtl/>
        </w:rPr>
        <w:t>חייבים</w:t>
      </w:r>
      <w:r w:rsidRPr="00A35E65">
        <w:rPr>
          <w:rFonts w:ascii="David" w:eastAsia="Times New Roman" w:hAnsi="David" w:cs="David"/>
          <w:color w:val="000000"/>
          <w:sz w:val="24"/>
          <w:szCs w:val="24"/>
          <w:rtl/>
        </w:rPr>
        <w:t xml:space="preserve">, </w:t>
      </w:r>
      <w:r w:rsidRPr="00A35E65">
        <w:rPr>
          <w:rFonts w:ascii="David" w:eastAsia="Times New Roman" w:hAnsi="David" w:cs="David"/>
          <w:i/>
          <w:iCs/>
          <w:color w:val="000000"/>
          <w:sz w:val="24"/>
          <w:szCs w:val="24"/>
          <w:rtl/>
        </w:rPr>
        <w:t>כל אחד מהם</w:t>
      </w:r>
      <w:r w:rsidRPr="00A35E65">
        <w:rPr>
          <w:rFonts w:ascii="David" w:eastAsia="Times New Roman" w:hAnsi="David" w:cs="David"/>
          <w:color w:val="000000"/>
          <w:sz w:val="24"/>
          <w:szCs w:val="24"/>
          <w:rtl/>
        </w:rPr>
        <w:t xml:space="preserve">, </w:t>
      </w:r>
      <w:r w:rsidRPr="00A35E65">
        <w:rPr>
          <w:rFonts w:ascii="David" w:eastAsia="Times New Roman" w:hAnsi="David" w:cs="David"/>
          <w:b/>
          <w:bCs/>
          <w:color w:val="000000"/>
          <w:sz w:val="24"/>
          <w:szCs w:val="24"/>
          <w:rtl/>
        </w:rPr>
        <w:t>לדאוג לכך שהילד או הנער ילמד באופן סדיר במוסד חינוך מוכר</w:t>
      </w:r>
      <w:r w:rsidRPr="00A35E65">
        <w:rPr>
          <w:rFonts w:ascii="David" w:eastAsia="Times New Roman" w:hAnsi="David" w:cs="David"/>
          <w:color w:val="000000"/>
          <w:sz w:val="24"/>
          <w:szCs w:val="24"/>
          <w:rtl/>
        </w:rPr>
        <w:t>.</w:t>
      </w:r>
    </w:p>
    <w:p w:rsidR="00A35E65" w:rsidRPr="00A35E65" w:rsidRDefault="00A35E65" w:rsidP="00A35E65">
      <w:pPr>
        <w:spacing w:before="72" w:after="0" w:line="240" w:lineRule="auto"/>
        <w:ind w:left="1021" w:right="1134" w:hanging="1021"/>
        <w:rPr>
          <w:rFonts w:ascii="David" w:eastAsia="Times New Roman" w:hAnsi="David" w:cs="David"/>
          <w:color w:val="000000"/>
          <w:sz w:val="24"/>
          <w:szCs w:val="24"/>
          <w:rtl/>
        </w:rPr>
      </w:pPr>
      <w:r w:rsidRPr="00A35E65">
        <w:rPr>
          <w:rFonts w:ascii="David" w:eastAsia="Times New Roman" w:hAnsi="David" w:cs="David"/>
          <w:b/>
          <w:bCs/>
          <w:color w:val="008000"/>
          <w:sz w:val="24"/>
          <w:szCs w:val="24"/>
          <w:rtl/>
        </w:rPr>
        <w:t>(תיקון מס' 8) תשל"ב-1972 (תיקון מס' 29) תשס"ז-2007</w:t>
      </w:r>
    </w:p>
    <w:p w:rsidR="00A35E65" w:rsidRPr="00A35E65" w:rsidRDefault="00A35E65" w:rsidP="00A35E65">
      <w:pPr>
        <w:spacing w:before="72" w:after="0" w:line="240" w:lineRule="auto"/>
        <w:ind w:left="1021" w:right="1134" w:hanging="1021"/>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(ב)  (1)   לא למד ילד או נער עד גיל 15 באופן סדיר במוסד חינוך מוכר, דינו של כל אחד מהוריו מאסר שני חדשים או קנס אלף לירות, זולת אם הוכיח מעל לכל ספק סביר שעשה כמיטב יכולתו כדי שהילד או הנער ילמד כאמור;</w:t>
      </w:r>
    </w:p>
    <w:p w:rsidR="00A35E65" w:rsidRPr="00A35E65" w:rsidRDefault="00A35E65" w:rsidP="00A35E65">
      <w:pPr>
        <w:spacing w:before="72" w:after="0" w:line="240" w:lineRule="auto"/>
        <w:ind w:left="1021" w:right="1134"/>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 xml:space="preserve">(2)   לא יובא אדם לדין לפי סעיף קטן זה, אלא לאחר שמנהל מוסד החינוך המוכר בו רשום הילד או הנער שלח לו בדואר רשום הודעה בכתב שהילד או הנער לא למד כאמור, ואף לאחר משלוח ההודעה לא למד הילד או הנער, כאמור, בזמן מן הזמנים; ולא יובא אדם לדין לפי סעיף קטן זה אלא לאחר שעברו שבעה ימים מיום משלוח ההודעה; " </w:t>
      </w:r>
    </w:p>
    <w:p w:rsidR="00A35E65" w:rsidRPr="00A35E65" w:rsidRDefault="00A35E65" w:rsidP="00A35E65">
      <w:pPr>
        <w:spacing w:before="72" w:after="0" w:line="240" w:lineRule="auto"/>
        <w:ind w:left="1021" w:right="1134"/>
        <w:jc w:val="both"/>
        <w:rPr>
          <w:rFonts w:ascii="David" w:eastAsia="Times New Roman" w:hAnsi="David" w:cs="David"/>
          <w:color w:val="000000"/>
          <w:sz w:val="20"/>
          <w:szCs w:val="20"/>
          <w:rtl/>
        </w:rPr>
      </w:pP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עיננו רואות כי סעיף 4 לחוק לימוד חובה קובע סנקציה פלילית על כל אחד מההורים  אם ילדו לא לומד באופן סדיר במוסד לימודי מוסדר . </w:t>
      </w:r>
    </w:p>
    <w:p w:rsidR="00A35E65" w:rsidRPr="00A35E65" w:rsidRDefault="00A35E65" w:rsidP="00A35E65">
      <w:pPr>
        <w:spacing w:before="72" w:after="0" w:line="240" w:lineRule="auto"/>
        <w:ind w:right="1134"/>
        <w:jc w:val="both"/>
        <w:rPr>
          <w:rFonts w:ascii="David" w:eastAsia="Times New Roman" w:hAnsi="David" w:cs="David"/>
          <w:color w:val="000000"/>
          <w:sz w:val="20"/>
          <w:szCs w:val="20"/>
          <w:rtl/>
        </w:rPr>
      </w:pPr>
    </w:p>
    <w:p w:rsidR="00A35E65" w:rsidRPr="00A35E65" w:rsidRDefault="00A35E65" w:rsidP="00A35E65">
      <w:pPr>
        <w:spacing w:before="72" w:after="0" w:line="240" w:lineRule="auto"/>
        <w:ind w:right="1134"/>
        <w:jc w:val="both"/>
        <w:rPr>
          <w:rFonts w:ascii="Times New Roman" w:eastAsia="Times New Roman" w:hAnsi="Times New Roman" w:cs="Times New Roman"/>
          <w:b/>
          <w:bCs/>
          <w:color w:val="000000"/>
          <w:sz w:val="24"/>
          <w:szCs w:val="24"/>
          <w:rtl/>
        </w:rPr>
      </w:pPr>
      <w:r w:rsidRPr="00A35E65">
        <w:rPr>
          <w:rFonts w:ascii="David" w:eastAsia="Times New Roman" w:hAnsi="David" w:cs="David"/>
          <w:b/>
          <w:bCs/>
          <w:color w:val="000000"/>
          <w:sz w:val="24"/>
          <w:szCs w:val="24"/>
          <w:rtl/>
        </w:rPr>
        <w:t>קביעת עובדות ומהימנות עדים</w:t>
      </w:r>
    </w:p>
    <w:p w:rsidR="00A35E65" w:rsidRPr="00A35E65" w:rsidRDefault="00A35E65" w:rsidP="00A35E65">
      <w:pPr>
        <w:spacing w:before="72" w:after="0" w:line="240" w:lineRule="auto"/>
        <w:ind w:right="1134"/>
        <w:jc w:val="both"/>
        <w:rPr>
          <w:rFonts w:ascii="Times New Roman" w:eastAsia="Times New Roman" w:hAnsi="Times New Roman" w:cs="Times New Roman"/>
          <w:color w:val="000000"/>
          <w:sz w:val="24"/>
          <w:szCs w:val="24"/>
          <w:rtl/>
        </w:rPr>
      </w:pP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במקרה דנן אין חולק שהנאשמים לא דאגו שילדם הקטין יפקוד את בית הספר החל מספטמבר 2021 כך שהקטין לא למד לא בכתה א', לא בכתה ב' ואף לא בשנה הנוכחית בה אמור היה ללמוד בכתה ג'. </w:t>
      </w: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אל ההורים נשלח מכתב ביום 16.12.21 שנכתב ע"י היועצת החינוכית של בית הספר , גב' ש. ב, כפי שעולה מסעיף 5 לעובדות כתב האישום בהן הודו הנאשמים באמצעות בא כוחם. </w:t>
      </w: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הנאשמת אישרה, כי גם הקב"ס שוחח עימה וגם מנהלת בית הספר דיברה עמה  והזהירה כי אם לא תשלח את הקטין לבית הספר יאלצו לפעול בהתאם לחוק.</w:t>
      </w: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לנאשמים היה שימוע כעדות ע.ה.1 </w:t>
      </w:r>
      <w:r w:rsidRPr="00A35E65">
        <w:rPr>
          <w:rFonts w:ascii="David" w:eastAsia="Times New Roman" w:hAnsi="David" w:cs="David"/>
          <w:color w:val="000000"/>
          <w:sz w:val="24"/>
          <w:szCs w:val="24"/>
        </w:rPr>
        <w:t xml:space="preserve"> </w:t>
      </w:r>
      <w:r w:rsidRPr="00A35E65">
        <w:rPr>
          <w:rFonts w:ascii="David" w:eastAsia="Times New Roman" w:hAnsi="David" w:cs="David"/>
          <w:color w:val="000000"/>
          <w:sz w:val="24"/>
          <w:szCs w:val="24"/>
          <w:rtl/>
        </w:rPr>
        <w:t>( ראו גם ת/1 ) עובדה שלא נסתרה.</w:t>
      </w: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p>
    <w:p w:rsidR="00A35E65" w:rsidRPr="00A35E65" w:rsidRDefault="00A35E65" w:rsidP="00A35E65">
      <w:pPr>
        <w:spacing w:before="72" w:after="0" w:line="240" w:lineRule="auto"/>
        <w:ind w:left="85" w:right="1134"/>
        <w:rPr>
          <w:rFonts w:ascii="David" w:eastAsia="Times New Roman" w:hAnsi="David" w:cs="David"/>
          <w:sz w:val="24"/>
          <w:szCs w:val="24"/>
          <w:rtl/>
        </w:rPr>
      </w:pPr>
      <w:r w:rsidRPr="00A35E65">
        <w:rPr>
          <w:rFonts w:ascii="David" w:eastAsia="Times New Roman" w:hAnsi="David" w:cs="David"/>
          <w:color w:val="000000"/>
          <w:sz w:val="24"/>
          <w:szCs w:val="24"/>
          <w:rtl/>
        </w:rPr>
        <w:t xml:space="preserve">מנהל אגף החינוך ד"ר א. א ( ע.ה.1 ), היה מהיימן  ועדותו אמינה. כך גם עדותה של רכזת קציני בקור סדיר של קרית מלאכי ( ע.ה.2 ), שהובאה בפני בית המשפט כדרישת סעיף 3 לחוק [ </w:t>
      </w:r>
      <w:r w:rsidRPr="00A35E65">
        <w:rPr>
          <w:rFonts w:ascii="Time New Roman" w:eastAsia="Times New Roman" w:hAnsi="Time New Roman" w:cs="Times New Roman" w:hint="cs"/>
          <w:b/>
          <w:bCs/>
          <w:sz w:val="24"/>
          <w:szCs w:val="24"/>
          <w:rtl/>
        </w:rPr>
        <w:t>(תיקון מס' 10)  תשל"ו-1976 (תיקון מס' 22)  תשנ"ו-1996</w:t>
      </w:r>
      <w:r w:rsidRPr="00A35E65">
        <w:rPr>
          <w:rFonts w:ascii="Times New Roman" w:eastAsia="Times New Roman" w:hAnsi="Times New Roman" w:cs="Times New Roman" w:hint="cs"/>
          <w:sz w:val="24"/>
          <w:szCs w:val="24"/>
          <w:rtl/>
        </w:rPr>
        <w:t>]</w:t>
      </w:r>
      <w:r w:rsidRPr="00A35E65">
        <w:rPr>
          <w:rFonts w:ascii="David" w:eastAsia="Times New Roman" w:hAnsi="David" w:cs="David"/>
          <w:sz w:val="24"/>
          <w:szCs w:val="24"/>
          <w:rtl/>
        </w:rPr>
        <w:t xml:space="preserve">. </w:t>
      </w:r>
    </w:p>
    <w:p w:rsidR="00A35E65" w:rsidRPr="00A35E65" w:rsidRDefault="00A35E65" w:rsidP="00A35E65">
      <w:pPr>
        <w:spacing w:before="72" w:after="0" w:line="240" w:lineRule="auto"/>
        <w:ind w:left="85" w:right="1134"/>
        <w:rPr>
          <w:rFonts w:ascii="David" w:eastAsia="Times New Roman" w:hAnsi="David" w:cs="David"/>
          <w:sz w:val="24"/>
          <w:szCs w:val="24"/>
          <w:rtl/>
        </w:rPr>
      </w:pPr>
    </w:p>
    <w:p w:rsidR="00A35E65" w:rsidRPr="00A35E65" w:rsidRDefault="00A35E65" w:rsidP="00A35E65">
      <w:pPr>
        <w:spacing w:before="72" w:after="0" w:line="240" w:lineRule="auto"/>
        <w:ind w:left="85" w:right="1134"/>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עדויות עדי התביעה היו קוהרנטיות,  ממוקדות , ענייניות ולא נסתרו ע"י ההגנה. </w:t>
      </w:r>
    </w:p>
    <w:p w:rsidR="00A35E65" w:rsidRPr="00A35E65" w:rsidRDefault="00A35E65" w:rsidP="00A35E65">
      <w:pPr>
        <w:spacing w:before="72" w:after="0" w:line="240" w:lineRule="auto"/>
        <w:ind w:left="85" w:right="1134"/>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למעשה ההגנה לא חלקה על העובדות, שהובאו ע"י המאשימה אלא העלתה טענה בדבר פרשנות לחוק. </w:t>
      </w:r>
    </w:p>
    <w:p w:rsidR="00A35E65" w:rsidRPr="00A35E65" w:rsidRDefault="00A35E65" w:rsidP="00A35E65">
      <w:pPr>
        <w:spacing w:before="72" w:after="0" w:line="240" w:lineRule="auto"/>
        <w:ind w:left="85" w:right="1134"/>
        <w:rPr>
          <w:rFonts w:ascii="David" w:eastAsia="Times New Roman" w:hAnsi="David" w:cs="David"/>
          <w:color w:val="000000"/>
          <w:sz w:val="24"/>
          <w:szCs w:val="24"/>
          <w:rtl/>
        </w:rPr>
      </w:pPr>
    </w:p>
    <w:p w:rsidR="00A35E65" w:rsidRPr="00A35E65" w:rsidRDefault="00A35E65" w:rsidP="00A35E65">
      <w:pPr>
        <w:spacing w:before="72" w:after="0" w:line="240" w:lineRule="auto"/>
        <w:ind w:left="85" w:right="1134"/>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נראה כי הנאשמים זכו ליחס אמפטי וסבלני הן על רקע התקופה בה היה הקטין צריך להתחיל את לימודיו במסגרת חינוכית ( ספטמבר 2021 ) תקופה בה עדיין  הורים חששו מקורונה והן בשל הקשר המשפחתי של הקב"ס עם הנאשמת. </w:t>
      </w:r>
    </w:p>
    <w:p w:rsidR="00A35E65" w:rsidRPr="00A35E65" w:rsidRDefault="00A35E65" w:rsidP="00A35E65">
      <w:pPr>
        <w:spacing w:before="72" w:after="0" w:line="240" w:lineRule="auto"/>
        <w:ind w:left="85" w:right="1134"/>
        <w:rPr>
          <w:rFonts w:ascii="David" w:eastAsia="Times New Roman" w:hAnsi="David" w:cs="David"/>
          <w:sz w:val="24"/>
          <w:szCs w:val="24"/>
          <w:rtl/>
        </w:rPr>
      </w:pPr>
      <w:r w:rsidRPr="00A35E65">
        <w:rPr>
          <w:rFonts w:ascii="David" w:eastAsia="Times New Roman" w:hAnsi="David" w:cs="David"/>
          <w:color w:val="000000"/>
          <w:sz w:val="24"/>
          <w:szCs w:val="24"/>
          <w:rtl/>
        </w:rPr>
        <w:t xml:space="preserve">ואולם  גם בהמשך ובמשך תקופה ארוכה בת שלוש שנים, גם לאחר ששמעו את עמדת בית המשפט ביולי 2023 , הנאשמים לא דאגו שהקטין יגיע לבית הספר אף לא ליום </w:t>
      </w:r>
      <w:r w:rsidRPr="00A35E65">
        <w:rPr>
          <w:rFonts w:ascii="David" w:eastAsia="Times New Roman" w:hAnsi="David" w:cs="David"/>
          <w:sz w:val="24"/>
          <w:szCs w:val="24"/>
          <w:rtl/>
        </w:rPr>
        <w:t xml:space="preserve">אחד ולא פנו כלל לבקש אישור לחינוך ביתי. </w:t>
      </w:r>
    </w:p>
    <w:p w:rsidR="00A35E65" w:rsidRPr="00A35E65" w:rsidRDefault="00A35E65" w:rsidP="00A35E65">
      <w:pPr>
        <w:spacing w:before="72" w:after="0" w:line="240" w:lineRule="auto"/>
        <w:ind w:left="85" w:right="1134"/>
        <w:rPr>
          <w:rFonts w:ascii="David" w:eastAsia="Times New Roman" w:hAnsi="David" w:cs="David"/>
          <w:sz w:val="24"/>
          <w:szCs w:val="24"/>
          <w:rtl/>
        </w:rPr>
      </w:pPr>
    </w:p>
    <w:p w:rsidR="00A35E65" w:rsidRPr="00A35E65" w:rsidRDefault="00A35E65" w:rsidP="00A35E65">
      <w:pPr>
        <w:spacing w:before="72" w:after="0" w:line="240" w:lineRule="auto"/>
        <w:ind w:left="85" w:right="1134"/>
        <w:rPr>
          <w:rFonts w:ascii="David" w:eastAsia="Times New Roman" w:hAnsi="David" w:cs="David"/>
          <w:color w:val="000000"/>
          <w:sz w:val="24"/>
          <w:szCs w:val="24"/>
          <w:rtl/>
        </w:rPr>
      </w:pPr>
      <w:r w:rsidRPr="00A35E65">
        <w:rPr>
          <w:rFonts w:ascii="David" w:eastAsia="Times New Roman" w:hAnsi="David" w:cs="David"/>
          <w:color w:val="000000"/>
          <w:sz w:val="24"/>
          <w:szCs w:val="24"/>
          <w:rtl/>
        </w:rPr>
        <w:t>על פי מכלול הראיות שהובאו לרבות עדות הנאשמת,  אני קובעת כי עדויות עדי התביעה אמינות.</w:t>
      </w:r>
    </w:p>
    <w:p w:rsidR="00A35E65" w:rsidRPr="00A35E65" w:rsidRDefault="00A35E65" w:rsidP="00A35E65">
      <w:pPr>
        <w:spacing w:before="72" w:after="0" w:line="240" w:lineRule="auto"/>
        <w:ind w:left="85" w:right="1134"/>
        <w:rPr>
          <w:rFonts w:ascii="David" w:eastAsia="Times New Roman" w:hAnsi="David" w:cs="David"/>
          <w:color w:val="000000"/>
          <w:sz w:val="24"/>
          <w:szCs w:val="24"/>
          <w:rtl/>
        </w:rPr>
      </w:pPr>
    </w:p>
    <w:p w:rsidR="00A35E65" w:rsidRPr="00A35E65" w:rsidRDefault="00A35E65" w:rsidP="00A35E65">
      <w:pPr>
        <w:tabs>
          <w:tab w:val="left" w:pos="720"/>
        </w:tabs>
        <w:snapToGrid w:val="0"/>
        <w:spacing w:after="0" w:line="360" w:lineRule="auto"/>
        <w:ind w:left="85"/>
        <w:jc w:val="both"/>
        <w:rPr>
          <w:rFonts w:ascii="Arial" w:eastAsia="Times New Roman" w:hAnsi="Arial" w:cs="David"/>
          <w:bCs/>
          <w:szCs w:val="20"/>
          <w:rtl/>
          <w:lang w:eastAsia="he-IL"/>
        </w:rPr>
      </w:pPr>
    </w:p>
    <w:p w:rsidR="00A35E65" w:rsidRPr="00A35E65" w:rsidRDefault="00A35E65" w:rsidP="00A35E65">
      <w:pPr>
        <w:tabs>
          <w:tab w:val="left" w:pos="720"/>
        </w:tabs>
        <w:snapToGrid w:val="0"/>
        <w:spacing w:after="0" w:line="360" w:lineRule="auto"/>
        <w:ind w:left="85"/>
        <w:jc w:val="both"/>
        <w:rPr>
          <w:rFonts w:ascii="Arial" w:eastAsia="Times New Roman" w:hAnsi="Arial" w:cs="David"/>
          <w:bCs/>
          <w:sz w:val="28"/>
          <w:szCs w:val="26"/>
          <w:rtl/>
          <w:lang w:eastAsia="he-IL"/>
        </w:rPr>
      </w:pPr>
      <w:r w:rsidRPr="00A35E65">
        <w:rPr>
          <w:rFonts w:ascii="Arial" w:eastAsia="Times New Roman" w:hAnsi="Arial" w:cs="David"/>
          <w:bCs/>
          <w:sz w:val="28"/>
          <w:szCs w:val="26"/>
          <w:rtl/>
          <w:lang w:eastAsia="he-IL"/>
        </w:rPr>
        <w:t xml:space="preserve">הרלוונטיות / המשקל של ראיות ההגנה </w:t>
      </w:r>
    </w:p>
    <w:p w:rsidR="00A35E65" w:rsidRPr="00A35E65" w:rsidRDefault="00A35E65" w:rsidP="00A35E65">
      <w:pPr>
        <w:tabs>
          <w:tab w:val="left" w:pos="720"/>
        </w:tabs>
        <w:snapToGrid w:val="0"/>
        <w:spacing w:after="0" w:line="360" w:lineRule="auto"/>
        <w:ind w:left="85"/>
        <w:jc w:val="both"/>
        <w:rPr>
          <w:rFonts w:ascii="Arial" w:eastAsia="Times New Roman" w:hAnsi="Arial" w:cs="David"/>
          <w:b/>
          <w:bCs/>
          <w:sz w:val="28"/>
          <w:szCs w:val="26"/>
          <w:rtl/>
          <w:lang w:eastAsia="he-IL"/>
        </w:rPr>
      </w:pPr>
    </w:p>
    <w:p w:rsidR="00A35E65" w:rsidRPr="00A35E65" w:rsidRDefault="00A35E65" w:rsidP="00A35E65">
      <w:pPr>
        <w:tabs>
          <w:tab w:val="left" w:pos="720"/>
        </w:tabs>
        <w:snapToGrid w:val="0"/>
        <w:spacing w:after="0" w:line="360" w:lineRule="auto"/>
        <w:ind w:left="720" w:hanging="720"/>
        <w:rPr>
          <w:rFonts w:ascii="Arial" w:eastAsia="Times New Roman" w:hAnsi="Arial" w:cs="David"/>
          <w:b/>
          <w:bCs/>
          <w:sz w:val="28"/>
          <w:szCs w:val="26"/>
          <w:rtl/>
          <w:lang w:eastAsia="he-IL"/>
        </w:rPr>
      </w:pPr>
      <w:r w:rsidRPr="00A35E65">
        <w:rPr>
          <w:rFonts w:ascii="Arial" w:eastAsia="Times New Roman" w:hAnsi="Arial" w:cs="David"/>
          <w:b/>
          <w:bCs/>
          <w:sz w:val="28"/>
          <w:szCs w:val="26"/>
          <w:rtl/>
          <w:lang w:eastAsia="he-IL"/>
        </w:rPr>
        <w:t xml:space="preserve">הנאשם לא העיד ועל כן שתיקתו מהווה חיזוק לראיות התביעה. </w:t>
      </w:r>
    </w:p>
    <w:p w:rsidR="00A35E65" w:rsidRPr="00A35E65" w:rsidRDefault="00A35E65" w:rsidP="00A35E65">
      <w:pPr>
        <w:tabs>
          <w:tab w:val="left" w:pos="720"/>
        </w:tabs>
        <w:snapToGrid w:val="0"/>
        <w:spacing w:after="0" w:line="360" w:lineRule="auto"/>
        <w:ind w:left="85"/>
        <w:jc w:val="both"/>
        <w:rPr>
          <w:rFonts w:ascii="Arial" w:eastAsia="Times New Roman" w:hAnsi="Arial" w:cs="David"/>
          <w:bCs/>
          <w:sz w:val="28"/>
          <w:szCs w:val="26"/>
          <w:rtl/>
          <w:lang w:eastAsia="he-IL"/>
        </w:rPr>
      </w:pPr>
    </w:p>
    <w:p w:rsidR="00A35E65" w:rsidRPr="00A35E65" w:rsidRDefault="00A35E65" w:rsidP="00A35E65">
      <w:pPr>
        <w:tabs>
          <w:tab w:val="left" w:pos="720"/>
        </w:tabs>
        <w:snapToGrid w:val="0"/>
        <w:spacing w:after="0" w:line="360" w:lineRule="auto"/>
        <w:ind w:left="85"/>
        <w:rPr>
          <w:rFonts w:ascii="David" w:eastAsia="Times New Roman" w:hAnsi="David" w:cs="David"/>
          <w:b/>
          <w:sz w:val="24"/>
          <w:szCs w:val="24"/>
          <w:rtl/>
          <w:lang w:eastAsia="he-IL"/>
        </w:rPr>
      </w:pPr>
      <w:r w:rsidRPr="00A35E65">
        <w:rPr>
          <w:rFonts w:ascii="Arial" w:eastAsia="Times New Roman" w:hAnsi="Arial" w:cs="David"/>
          <w:bCs/>
          <w:sz w:val="24"/>
          <w:szCs w:val="24"/>
          <w:rtl/>
          <w:lang w:eastAsia="he-IL"/>
        </w:rPr>
        <w:t>מעדותה של הנאשמת</w:t>
      </w:r>
      <w:r w:rsidRPr="00A35E65">
        <w:rPr>
          <w:rFonts w:ascii="Arial" w:eastAsia="Times New Roman" w:hAnsi="Arial" w:cs="David"/>
          <w:b/>
          <w:sz w:val="24"/>
          <w:szCs w:val="24"/>
          <w:rtl/>
          <w:lang w:eastAsia="he-IL"/>
        </w:rPr>
        <w:t xml:space="preserve"> </w:t>
      </w:r>
      <w:r w:rsidRPr="00A35E65">
        <w:rPr>
          <w:rFonts w:ascii="Arial" w:eastAsia="Times New Roman" w:hAnsi="Arial" w:cs="David"/>
          <w:bCs/>
          <w:sz w:val="24"/>
          <w:szCs w:val="24"/>
          <w:rtl/>
          <w:lang w:eastAsia="he-IL"/>
        </w:rPr>
        <w:t>עולה תמונה עגומה</w:t>
      </w:r>
      <w:r w:rsidRPr="00A35E65">
        <w:rPr>
          <w:rFonts w:ascii="Arial" w:eastAsia="Times New Roman" w:hAnsi="Arial" w:cs="David"/>
          <w:b/>
          <w:sz w:val="24"/>
          <w:szCs w:val="24"/>
          <w:rtl/>
          <w:lang w:eastAsia="he-IL"/>
        </w:rPr>
        <w:t xml:space="preserve"> לפיה היא והנאשם לא מאפשרים לקטין ללמוד בבית הספר. </w:t>
      </w: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r w:rsidRPr="00A35E65">
        <w:rPr>
          <w:rFonts w:ascii="Arial" w:eastAsia="Times New Roman" w:hAnsi="Arial" w:cs="David"/>
          <w:b/>
          <w:sz w:val="24"/>
          <w:szCs w:val="24"/>
          <w:rtl/>
          <w:lang w:eastAsia="he-IL"/>
        </w:rPr>
        <w:t xml:space="preserve">לנאשמת יש אידיאולוגיה לפיה הקטין צריך ללמוד באופן חופשי. טענתה כי שליחת הקטין למסגרת חינוכית של משרד החינוך נוגדת את האמונות שלה אינה מהוה עילה להפרת החוק ואינה מהוה הגנה כפי שיובהר בהמשך ( עמ' 16, שו' 16-17 ). </w:t>
      </w: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r w:rsidRPr="00A35E65">
        <w:rPr>
          <w:rFonts w:ascii="David" w:eastAsia="Times New Roman" w:hAnsi="David" w:cs="David"/>
          <w:b/>
          <w:sz w:val="24"/>
          <w:szCs w:val="24"/>
          <w:rtl/>
          <w:lang w:eastAsia="he-IL"/>
        </w:rPr>
        <w:t>הטענה שהסיבה לכך אידיאולוגית אין בה כדי להצדיק את הימנעותה או הימנעות הנאשם לדאוג שבנם הקטין יזכה לחינוך בהתאם לחובתם על  פי חוק חינוך החובה</w:t>
      </w:r>
      <w:r w:rsidRPr="00A35E65">
        <w:rPr>
          <w:rFonts w:ascii="Arial" w:eastAsia="Times New Roman" w:hAnsi="Arial" w:cs="David"/>
          <w:b/>
          <w:sz w:val="24"/>
          <w:szCs w:val="24"/>
          <w:rtl/>
          <w:lang w:eastAsia="he-IL"/>
        </w:rPr>
        <w:t>.</w:t>
      </w: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r w:rsidRPr="00A35E65">
        <w:rPr>
          <w:rFonts w:ascii="Arial" w:eastAsia="Times New Roman" w:hAnsi="Arial" w:cs="David"/>
          <w:b/>
          <w:sz w:val="24"/>
          <w:szCs w:val="24"/>
          <w:rtl/>
          <w:lang w:eastAsia="he-IL"/>
        </w:rPr>
        <w:t>דעותיה לגבי מצב החינוך והתנהלות המסגרת החינוכית מבוססת על "שמועות", "הנחות", "רכילות", כתבות ו/או פוסטים, שלא ניתן לבסס עליהם קביעה עובדתית כלשהי שתסייע בהגנת הנאשמים.</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bCs/>
          <w:sz w:val="28"/>
          <w:szCs w:val="26"/>
          <w:rtl/>
          <w:lang w:eastAsia="he-IL"/>
        </w:rPr>
      </w:pPr>
    </w:p>
    <w:p w:rsidR="00A35E65" w:rsidRPr="00A35E65" w:rsidRDefault="00A35E65" w:rsidP="00A35E65">
      <w:pPr>
        <w:tabs>
          <w:tab w:val="left" w:pos="720"/>
        </w:tabs>
        <w:snapToGrid w:val="0"/>
        <w:spacing w:after="0" w:line="360" w:lineRule="auto"/>
        <w:ind w:left="85"/>
        <w:jc w:val="both"/>
        <w:rPr>
          <w:rFonts w:ascii="Arial" w:eastAsia="Times New Roman" w:hAnsi="Arial" w:cs="Times New Roman"/>
          <w:b/>
          <w:color w:val="000000"/>
          <w:sz w:val="20"/>
          <w:szCs w:val="20"/>
          <w:rtl/>
          <w:lang w:eastAsia="he-IL"/>
        </w:rPr>
      </w:pPr>
      <w:r w:rsidRPr="00A35E65">
        <w:rPr>
          <w:rFonts w:ascii="Arial" w:eastAsia="Times New Roman" w:hAnsi="Arial" w:cs="David"/>
          <w:b/>
          <w:sz w:val="24"/>
          <w:szCs w:val="24"/>
          <w:rtl/>
          <w:lang w:eastAsia="he-IL"/>
        </w:rPr>
        <w:t>הגם שהחוק מאפשר פטור כפוף לעמידה בתנאים שנקבעו ובנוהל חוזר מנכ"ל והגם שלשר מכוח סעיף</w:t>
      </w:r>
      <w:r w:rsidRPr="00A35E65">
        <w:rPr>
          <w:rFonts w:ascii="Arial" w:eastAsia="Times New Roman" w:hAnsi="Arial" w:cs="David"/>
          <w:b/>
          <w:sz w:val="28"/>
          <w:szCs w:val="26"/>
          <w:rtl/>
          <w:lang w:eastAsia="he-IL"/>
        </w:rPr>
        <w:t xml:space="preserve"> </w:t>
      </w:r>
      <w:r w:rsidRPr="00A35E65">
        <w:rPr>
          <w:rFonts w:ascii="FrankRuehl" w:eastAsia="Times New Roman" w:hAnsi="FrankRuehl" w:cs="FrankRuehl"/>
          <w:b/>
          <w:color w:val="000000"/>
          <w:sz w:val="26"/>
          <w:szCs w:val="26"/>
          <w:rtl/>
          <w:lang w:eastAsia="he-IL"/>
        </w:rPr>
        <w:t>(ב)  (1)  לחוק  " להורות, בהוראה כללית או מיוחדת, כי ההורים ונותן העבודה של ילד או של נער, וכן הנער עצמו, יהיו פטורים מן החובות המוטלות עליהם לפי סעיף 4, אם –</w:t>
      </w:r>
    </w:p>
    <w:p w:rsidR="00A35E65" w:rsidRPr="00A35E65" w:rsidRDefault="00A35E65" w:rsidP="00A35E65">
      <w:pPr>
        <w:spacing w:before="72" w:after="0" w:line="240" w:lineRule="auto"/>
        <w:ind w:left="1474" w:right="1134"/>
        <w:jc w:val="both"/>
        <w:rPr>
          <w:rFonts w:ascii="Times New Roman" w:eastAsia="Times New Roman" w:hAnsi="Times New Roman" w:cs="Times New Roman"/>
          <w:b/>
          <w:bCs/>
          <w:color w:val="000000"/>
          <w:sz w:val="20"/>
          <w:szCs w:val="20"/>
          <w:rtl/>
        </w:rPr>
      </w:pPr>
      <w:r w:rsidRPr="00A35E65">
        <w:rPr>
          <w:rFonts w:ascii="FrankRuehl" w:eastAsia="Times New Roman" w:hAnsi="FrankRuehl" w:cs="FrankRuehl"/>
          <w:b/>
          <w:bCs/>
          <w:color w:val="000000"/>
          <w:sz w:val="26"/>
          <w:szCs w:val="26"/>
          <w:rtl/>
        </w:rPr>
        <w:t>(</w:t>
      </w:r>
      <w:r w:rsidRPr="00A35E65">
        <w:rPr>
          <w:rFonts w:ascii="Times New Roman" w:eastAsia="Times New Roman" w:hAnsi="Times New Roman" w:cs="Times New Roman"/>
          <w:b/>
          <w:bCs/>
          <w:color w:val="000000"/>
          <w:sz w:val="20"/>
          <w:szCs w:val="20"/>
        </w:rPr>
        <w:t>I</w:t>
      </w:r>
      <w:r w:rsidRPr="00A35E65">
        <w:rPr>
          <w:rFonts w:ascii="FrankRuehl" w:eastAsia="Times New Roman" w:hAnsi="FrankRuehl" w:cs="FrankRuehl"/>
          <w:b/>
          <w:bCs/>
          <w:color w:val="000000"/>
          <w:sz w:val="26"/>
          <w:szCs w:val="26"/>
          <w:rtl/>
        </w:rPr>
        <w:t>)    קיימים, לדעת השר, טעמים מיוחדים לכך שהילד או הנער לא ילמד במוסד חינוך מוכר, והילד או הנער מקבל באופן פרטי לימוד שיטתי המניח את דעת השר; או</w:t>
      </w:r>
    </w:p>
    <w:p w:rsidR="00A35E65" w:rsidRPr="00A35E65" w:rsidRDefault="00A35E65" w:rsidP="00A35E65">
      <w:pPr>
        <w:spacing w:before="72" w:after="0" w:line="240" w:lineRule="auto"/>
        <w:ind w:left="1474" w:right="1134"/>
        <w:jc w:val="both"/>
        <w:rPr>
          <w:rFonts w:ascii="Times New Roman" w:eastAsia="Times New Roman" w:hAnsi="Times New Roman" w:cs="Times New Roman"/>
          <w:b/>
          <w:bCs/>
          <w:color w:val="000000"/>
          <w:sz w:val="20"/>
          <w:szCs w:val="20"/>
          <w:rtl/>
        </w:rPr>
      </w:pPr>
      <w:r w:rsidRPr="00A35E65">
        <w:rPr>
          <w:rFonts w:ascii="FrankRuehl" w:eastAsia="Times New Roman" w:hAnsi="FrankRuehl" w:cs="FrankRuehl"/>
          <w:b/>
          <w:bCs/>
          <w:color w:val="000000"/>
          <w:sz w:val="26"/>
          <w:szCs w:val="26"/>
          <w:rtl/>
        </w:rPr>
        <w:t>(</w:t>
      </w:r>
      <w:r w:rsidRPr="00A35E65">
        <w:rPr>
          <w:rFonts w:ascii="Times New Roman" w:eastAsia="Times New Roman" w:hAnsi="Times New Roman" w:cs="Times New Roman"/>
          <w:b/>
          <w:bCs/>
          <w:color w:val="000000"/>
          <w:sz w:val="20"/>
          <w:szCs w:val="20"/>
        </w:rPr>
        <w:t>II</w:t>
      </w:r>
      <w:r w:rsidRPr="00A35E65">
        <w:rPr>
          <w:rFonts w:ascii="FrankRuehl" w:eastAsia="Times New Roman" w:hAnsi="FrankRuehl" w:cs="FrankRuehl"/>
          <w:b/>
          <w:bCs/>
          <w:color w:val="000000"/>
          <w:sz w:val="26"/>
          <w:szCs w:val="26"/>
          <w:rtl/>
        </w:rPr>
        <w:t>)   השר משוכנע שאין הילד או הנער מסוגל ללמוד באופן סדיר במוסד חינוך מוכר;</w:t>
      </w:r>
    </w:p>
    <w:p w:rsidR="00A35E65" w:rsidRPr="00A35E65" w:rsidRDefault="00A35E65" w:rsidP="00A35E65">
      <w:pPr>
        <w:spacing w:before="72" w:after="0" w:line="240" w:lineRule="auto"/>
        <w:ind w:left="1021" w:right="1134"/>
        <w:jc w:val="both"/>
        <w:rPr>
          <w:rFonts w:ascii="Times New Roman" w:eastAsia="Times New Roman" w:hAnsi="Times New Roman" w:cs="Times New Roman"/>
          <w:b/>
          <w:bCs/>
          <w:color w:val="000000"/>
          <w:sz w:val="20"/>
          <w:szCs w:val="20"/>
          <w:rtl/>
        </w:rPr>
      </w:pPr>
      <w:r w:rsidRPr="00A35E65">
        <w:rPr>
          <w:rFonts w:ascii="FrankRuehl" w:eastAsia="Times New Roman" w:hAnsi="FrankRuehl" w:cs="FrankRuehl"/>
          <w:b/>
          <w:bCs/>
          <w:color w:val="000000"/>
          <w:sz w:val="26"/>
          <w:szCs w:val="26"/>
          <w:rtl/>
        </w:rPr>
        <w:t>(2)   בהוראה לפי סעיף קטן זה רשאי השר לקבוע כל תנאי וכל סייג הנראים לו;</w:t>
      </w:r>
    </w:p>
    <w:p w:rsidR="00A35E65" w:rsidRPr="00A35E65" w:rsidRDefault="00A35E65" w:rsidP="00A35E65">
      <w:pPr>
        <w:spacing w:before="72" w:after="0" w:line="240" w:lineRule="auto"/>
        <w:ind w:left="1021" w:right="1134"/>
        <w:rPr>
          <w:rFonts w:ascii="Times New Roman" w:eastAsia="Times New Roman" w:hAnsi="Times New Roman" w:cs="Times New Roman"/>
          <w:b/>
          <w:bCs/>
          <w:color w:val="000000"/>
          <w:sz w:val="20"/>
          <w:szCs w:val="20"/>
        </w:rPr>
      </w:pPr>
      <w:r w:rsidRPr="00A35E65">
        <w:rPr>
          <w:rFonts w:ascii="Time New Roman" w:eastAsia="Times New Roman" w:hAnsi="Time New Roman" w:cs="Times New Roman" w:hint="cs"/>
          <w:b/>
          <w:bCs/>
          <w:color w:val="008000"/>
          <w:sz w:val="27"/>
          <w:szCs w:val="27"/>
          <w:rtl/>
        </w:rPr>
        <w:t>(תיקון מס' 9) תשל"ב-1972</w:t>
      </w:r>
    </w:p>
    <w:p w:rsidR="00A35E65" w:rsidRPr="00A35E65" w:rsidRDefault="00A35E65" w:rsidP="00A35E65">
      <w:pPr>
        <w:spacing w:before="72" w:after="0" w:line="240" w:lineRule="auto"/>
        <w:ind w:left="1021" w:right="1134"/>
        <w:jc w:val="both"/>
        <w:rPr>
          <w:rFonts w:ascii="Times New Roman" w:eastAsia="Times New Roman" w:hAnsi="Times New Roman" w:cs="Times New Roman"/>
          <w:b/>
          <w:bCs/>
          <w:color w:val="000000"/>
          <w:sz w:val="20"/>
          <w:szCs w:val="20"/>
          <w:rtl/>
        </w:rPr>
      </w:pPr>
      <w:r w:rsidRPr="00A35E65">
        <w:rPr>
          <w:rFonts w:ascii="FrankRuehl" w:eastAsia="Times New Roman" w:hAnsi="FrankRuehl" w:cs="FrankRuehl"/>
          <w:b/>
          <w:bCs/>
          <w:color w:val="000000"/>
          <w:sz w:val="26"/>
          <w:szCs w:val="26"/>
          <w:rtl/>
        </w:rPr>
        <w:t xml:space="preserve">(3)   מי שניתנה עליו הוראת פטור לפי סעיף זה, לא יחולו לגביו הוראות סעיפים 6, 7 ו-10 אלא בכפוף לתנאים ולסייגים שבהוראות הפטור, ובלבד שתישמר החובה לספק לילד או לנער לימודים במסגרת שקבע השר בכל מקרה שהילד או הנער מסוגל לכך </w:t>
      </w:r>
      <w:r w:rsidRPr="00A35E65">
        <w:rPr>
          <w:rFonts w:ascii="Times New Roman" w:eastAsia="Times New Roman" w:hAnsi="Times New Roman" w:cs="Times New Roman" w:hint="cs"/>
          <w:b/>
          <w:bCs/>
          <w:color w:val="000000"/>
          <w:sz w:val="20"/>
          <w:szCs w:val="20"/>
          <w:rtl/>
        </w:rPr>
        <w:t xml:space="preserve"> " , </w:t>
      </w:r>
    </w:p>
    <w:p w:rsidR="00A35E65" w:rsidRPr="00A35E65" w:rsidRDefault="00A35E65" w:rsidP="00A35E65">
      <w:pPr>
        <w:spacing w:before="240" w:after="0" w:line="360" w:lineRule="auto"/>
        <w:jc w:val="both"/>
        <w:rPr>
          <w:rFonts w:ascii="David" w:eastAsia="Times New Roman" w:hAnsi="David" w:cs="David"/>
          <w:b/>
          <w:bCs/>
          <w:sz w:val="24"/>
          <w:szCs w:val="24"/>
          <w:u w:val="single"/>
          <w:rtl/>
        </w:rPr>
      </w:pPr>
    </w:p>
    <w:p w:rsidR="00A35E65" w:rsidRPr="00A35E65" w:rsidRDefault="00A35E65" w:rsidP="00A35E65">
      <w:pPr>
        <w:tabs>
          <w:tab w:val="left" w:pos="720"/>
        </w:tabs>
        <w:snapToGrid w:val="0"/>
        <w:spacing w:after="0" w:line="360" w:lineRule="auto"/>
        <w:ind w:left="85"/>
        <w:jc w:val="both"/>
        <w:rPr>
          <w:rFonts w:ascii="Arial" w:eastAsia="Times New Roman" w:hAnsi="Arial" w:cs="David"/>
          <w:bCs/>
          <w:sz w:val="24"/>
          <w:szCs w:val="24"/>
          <w:rtl/>
          <w:lang w:eastAsia="he-IL"/>
        </w:rPr>
      </w:pPr>
      <w:r w:rsidRPr="00A35E65">
        <w:rPr>
          <w:rFonts w:ascii="Arial" w:eastAsia="Times New Roman" w:hAnsi="Arial" w:cs="David"/>
          <w:sz w:val="24"/>
          <w:szCs w:val="24"/>
          <w:rtl/>
          <w:lang w:eastAsia="he-IL"/>
        </w:rPr>
        <w:t>הנאשמים לא הציגו אישור משרד החינוך לחינוך ביתי</w:t>
      </w:r>
      <w:r w:rsidRPr="00A35E65">
        <w:rPr>
          <w:rFonts w:ascii="Arial" w:eastAsia="Times New Roman" w:hAnsi="Arial" w:cs="David"/>
          <w:b/>
          <w:sz w:val="24"/>
          <w:szCs w:val="24"/>
          <w:rtl/>
          <w:lang w:eastAsia="he-IL"/>
        </w:rPr>
        <w:t xml:space="preserve">. למעשה הנאשמים כלל לא פנו בבקשה לקבל אשור לפטור, ועל כך אין חולק. משמע, </w:t>
      </w:r>
      <w:r w:rsidRPr="00A35E65">
        <w:rPr>
          <w:rFonts w:ascii="David" w:eastAsia="Times New Roman" w:hAnsi="David" w:cs="David"/>
          <w:bCs/>
          <w:color w:val="000000"/>
          <w:sz w:val="24"/>
          <w:szCs w:val="24"/>
          <w:rtl/>
          <w:lang w:eastAsia="he-IL"/>
        </w:rPr>
        <w:t>לנאשמים אין פטור מכוח אחת החלופות, שבסעיף 5 לחוק מהחובות המוטלות עליהם על פי סעיף 4 לחוק.</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bCs/>
          <w:sz w:val="24"/>
          <w:szCs w:val="24"/>
          <w:rtl/>
          <w:lang w:eastAsia="he-IL"/>
        </w:rPr>
      </w:pP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r w:rsidRPr="00A35E65">
        <w:rPr>
          <w:rFonts w:ascii="Arial" w:eastAsia="Times New Roman" w:hAnsi="Arial" w:cs="David"/>
          <w:b/>
          <w:sz w:val="24"/>
          <w:szCs w:val="24"/>
          <w:rtl/>
          <w:lang w:eastAsia="he-IL"/>
        </w:rPr>
        <w:t xml:space="preserve">לא הוכח שיש למי מהנאשמים היכולת להעניק לקטין חינוך בהתאם לדרישות משרד החינוך ולמרבה הצער התרשמות בית המשפט מעדות הנאשמת היא, כי אין בידה ו/או ביכולתה להעניק לקטין החינוך לו זכאי על פי חוק.  </w:t>
      </w: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r w:rsidRPr="00A35E65">
        <w:rPr>
          <w:rFonts w:ascii="Arial" w:eastAsia="Times New Roman" w:hAnsi="Arial" w:cs="David"/>
          <w:b/>
          <w:sz w:val="24"/>
          <w:szCs w:val="24"/>
          <w:rtl/>
          <w:lang w:eastAsia="he-IL"/>
        </w:rPr>
        <w:t xml:space="preserve">לנאשמים הוסבר הנוהל  והדרך לבקש בקשה לפטור לפי החוק ע"י הקב"ס, כפי שעולה מעדות ע.ה 2 . </w:t>
      </w:r>
    </w:p>
    <w:p w:rsidR="00A35E65" w:rsidRPr="00A35E65" w:rsidRDefault="00A35E65" w:rsidP="00A35E65">
      <w:pPr>
        <w:tabs>
          <w:tab w:val="left" w:pos="720"/>
        </w:tabs>
        <w:snapToGrid w:val="0"/>
        <w:spacing w:after="0" w:line="360" w:lineRule="auto"/>
        <w:ind w:left="85"/>
        <w:jc w:val="both"/>
        <w:rPr>
          <w:rFonts w:ascii="Arial" w:eastAsia="Times New Roman" w:hAnsi="Arial" w:cs="David"/>
          <w:b/>
          <w:sz w:val="24"/>
          <w:szCs w:val="24"/>
          <w:rtl/>
          <w:lang w:eastAsia="he-IL"/>
        </w:rPr>
      </w:pPr>
      <w:r w:rsidRPr="00A35E65">
        <w:rPr>
          <w:rFonts w:ascii="Arial" w:eastAsia="Times New Roman" w:hAnsi="Arial" w:cs="David"/>
          <w:b/>
          <w:sz w:val="24"/>
          <w:szCs w:val="24"/>
          <w:rtl/>
          <w:lang w:eastAsia="he-IL"/>
        </w:rPr>
        <w:t>הנאשמים זלזלו בחובתם על פי חוק כמו גם בזכות בנם הקטין לחינוך מוסדר ורכישת מיומנויות וכישורים חברתיים ואין הם יכולים להעלות טענה כלשהי לקשיים בעניין תנאי</w:t>
      </w:r>
      <w:r w:rsidRPr="00A35E65">
        <w:rPr>
          <w:rFonts w:ascii="Arial" w:eastAsia="Times New Roman" w:hAnsi="Arial" w:cs="David"/>
          <w:b/>
          <w:sz w:val="28"/>
          <w:szCs w:val="26"/>
          <w:rtl/>
          <w:lang w:eastAsia="he-IL"/>
        </w:rPr>
        <w:t xml:space="preserve"> בקשה לפטור על </w:t>
      </w:r>
      <w:r w:rsidRPr="00A35E65">
        <w:rPr>
          <w:rFonts w:ascii="Arial" w:eastAsia="Times New Roman" w:hAnsi="Arial" w:cs="David"/>
          <w:b/>
          <w:sz w:val="24"/>
          <w:szCs w:val="24"/>
          <w:rtl/>
          <w:lang w:eastAsia="he-IL"/>
        </w:rPr>
        <w:t>פי שמועות מהורים אחרים, "שמועות" שאינן מהוות ראיה ו/או בסיס כלשהו להוכחה גם לא על  פי עדות מי מעדי ההגנה שהעידו.</w:t>
      </w:r>
    </w:p>
    <w:p w:rsidR="00A35E65" w:rsidRPr="00A35E65" w:rsidRDefault="00A35E65" w:rsidP="00A35E65">
      <w:pPr>
        <w:tabs>
          <w:tab w:val="left" w:pos="720"/>
        </w:tabs>
        <w:snapToGrid w:val="0"/>
        <w:spacing w:after="0" w:line="360" w:lineRule="auto"/>
        <w:ind w:left="720"/>
        <w:jc w:val="both"/>
        <w:rPr>
          <w:rFonts w:ascii="Arial" w:eastAsia="Times New Roman" w:hAnsi="Arial" w:cs="David"/>
          <w:b/>
          <w:bCs/>
          <w:sz w:val="24"/>
          <w:szCs w:val="24"/>
          <w:rtl/>
          <w:lang w:eastAsia="he-IL"/>
        </w:rPr>
      </w:pP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באשר לעדויות ע.ה. 2 וע.ה. 3</w:t>
      </w:r>
      <w:r w:rsidRPr="00A35E65">
        <w:rPr>
          <w:rFonts w:ascii="David" w:eastAsia="Times New Roman" w:hAnsi="David" w:cs="David"/>
          <w:sz w:val="24"/>
          <w:szCs w:val="24"/>
          <w:rtl/>
        </w:rPr>
        <w:t xml:space="preserve">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lastRenderedPageBreak/>
        <w:t xml:space="preserve">ב"כ הנאשמים ביקש באמצעות עדות הגנה 2 ו-3 לבסס טענות הנוגעות למצבה של מערכת החינוך במדינת ישראל, ומתוך כך לנסות לייצר הגנה משפטית לנאשמים המתבססת על טענות של פגיעה בזכויות החוקתיות של ההורים.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ביהמ"ש התיר את עדויות עדות הגנה 2 ו-3 עקב גישת הפסיקה לפיה הסמכות לאסור על חקירת עד או שלא להורות על זימון עד תופעל לעיתים נדירות ובזהירות רבה (ראו למשל </w:t>
      </w:r>
      <w:hyperlink r:id="rId12" w:history="1">
        <w:r w:rsidRPr="00A35E65">
          <w:rPr>
            <w:rFonts w:ascii="David" w:eastAsia="Times New Roman" w:hAnsi="David" w:cs="David"/>
            <w:color w:val="0000FF"/>
            <w:sz w:val="24"/>
            <w:szCs w:val="24"/>
            <w:u w:val="single"/>
            <w:rtl/>
          </w:rPr>
          <w:t>רע"א 9055/07 </w:t>
        </w:r>
        <w:r w:rsidRPr="00A35E65">
          <w:rPr>
            <w:rFonts w:ascii="David" w:eastAsia="Times New Roman" w:hAnsi="David" w:cs="David"/>
            <w:b/>
            <w:bCs/>
            <w:color w:val="0000FF"/>
            <w:sz w:val="24"/>
            <w:szCs w:val="24"/>
            <w:u w:val="single"/>
            <w:rtl/>
          </w:rPr>
          <w:t>שירותי בריאות כללית נ' נאדר נאצר</w:t>
        </w:r>
        <w:r w:rsidRPr="00A35E65">
          <w:rPr>
            <w:rFonts w:ascii="David" w:eastAsia="Times New Roman" w:hAnsi="David" w:cs="David"/>
            <w:color w:val="0000FF"/>
            <w:sz w:val="24"/>
            <w:szCs w:val="24"/>
            <w:u w:val="single"/>
            <w:rtl/>
          </w:rPr>
          <w:t> (נבו 22.11.2007)‏</w:t>
        </w:r>
      </w:hyperlink>
      <w:r w:rsidRPr="00A35E65">
        <w:rPr>
          <w:rFonts w:ascii="David" w:eastAsia="Times New Roman" w:hAnsi="David" w:cs="David"/>
          <w:sz w:val="24"/>
          <w:szCs w:val="24"/>
          <w:rtl/>
        </w:rPr>
        <w:t>‏;</w:t>
      </w:r>
      <w:r w:rsidRPr="00A35E65">
        <w:rPr>
          <w:rFonts w:ascii="David" w:eastAsia="Times New Roman" w:hAnsi="David" w:cs="David"/>
          <w:sz w:val="24"/>
          <w:szCs w:val="24"/>
        </w:rPr>
        <w:t xml:space="preserve"> </w:t>
      </w:r>
      <w:hyperlink r:id="rId13" w:history="1">
        <w:r w:rsidRPr="00A35E65">
          <w:rPr>
            <w:rFonts w:ascii="David" w:eastAsia="Times New Roman" w:hAnsi="David" w:cs="David"/>
            <w:color w:val="0000FF"/>
            <w:sz w:val="24"/>
            <w:szCs w:val="24"/>
            <w:u w:val="single"/>
            <w:rtl/>
          </w:rPr>
          <w:t>רע"א 4868/15 </w:t>
        </w:r>
        <w:r w:rsidRPr="00A35E65">
          <w:rPr>
            <w:rFonts w:ascii="David" w:eastAsia="Times New Roman" w:hAnsi="David" w:cs="David"/>
            <w:b/>
            <w:bCs/>
            <w:color w:val="0000FF"/>
            <w:sz w:val="24"/>
            <w:szCs w:val="24"/>
            <w:u w:val="single"/>
            <w:rtl/>
          </w:rPr>
          <w:t>בנק לאומי לישראל בע"מ נ' מגי גלזר</w:t>
        </w:r>
        <w:r w:rsidRPr="00A35E65">
          <w:rPr>
            <w:rFonts w:ascii="David" w:eastAsia="Times New Roman" w:hAnsi="David" w:cs="David"/>
            <w:color w:val="0000FF"/>
            <w:sz w:val="24"/>
            <w:szCs w:val="24"/>
            <w:u w:val="single"/>
            <w:rtl/>
          </w:rPr>
          <w:t> (נבו 29.07.2015)‏</w:t>
        </w:r>
      </w:hyperlink>
      <w:r w:rsidRPr="00A35E65">
        <w:rPr>
          <w:rFonts w:ascii="David" w:eastAsia="Times New Roman" w:hAnsi="David" w:cs="David"/>
          <w:sz w:val="24"/>
          <w:szCs w:val="24"/>
          <w:rtl/>
        </w:rPr>
        <w:t xml:space="preserve">‏), גם כאשר על פניו, ובמהלך הדיון, רלוונטיות העדות נראתה לכל הפחות לא סבירה.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w:t>
      </w:r>
      <w:hyperlink r:id="rId14" w:anchor="2" w:history="1">
        <w:r w:rsidRPr="00A35E65">
          <w:rPr>
            <w:rFonts w:ascii="David" w:eastAsia="Times New Roman" w:hAnsi="David" w:cs="David"/>
            <w:color w:val="0000FF"/>
            <w:sz w:val="24"/>
            <w:szCs w:val="24"/>
            <w:u w:val="single"/>
            <w:rtl/>
          </w:rPr>
          <w:t>ת"פ 40/61 היועץ המשפטי לממשלה נ' אדולף אייכמן</w:t>
        </w:r>
      </w:hyperlink>
      <w:r w:rsidRPr="00A35E65">
        <w:rPr>
          <w:rFonts w:ascii="David" w:eastAsia="Times New Roman" w:hAnsi="David" w:cs="David"/>
          <w:color w:val="000000"/>
          <w:sz w:val="24"/>
          <w:szCs w:val="24"/>
          <w:rtl/>
        </w:rPr>
        <w:t xml:space="preserve"> נפסק על-ידי כב' השופט לנדוי כי "</w:t>
      </w:r>
      <w:r w:rsidRPr="00A35E65">
        <w:rPr>
          <w:rFonts w:ascii="David" w:eastAsia="Times New Roman" w:hAnsi="David" w:cs="David"/>
          <w:b/>
          <w:bCs/>
          <w:color w:val="000000"/>
          <w:sz w:val="24"/>
          <w:szCs w:val="24"/>
          <w:rtl/>
        </w:rPr>
        <w:t>ענינו של כל משפט פלילי הוא לברר אם נכונות טענות האישום של התביעה נגד הנאשם העומד לדין</w:t>
      </w:r>
      <w:r w:rsidRPr="00A35E65">
        <w:rPr>
          <w:rFonts w:ascii="David" w:eastAsia="Times New Roman" w:hAnsi="David" w:cs="David"/>
          <w:color w:val="000000"/>
          <w:sz w:val="24"/>
          <w:szCs w:val="24"/>
          <w:rtl/>
        </w:rPr>
        <w:t xml:space="preserve">, ואם יורשע הנאשם, למדוד לו את עונשו. כל מה שדורש בירור לשם השגת מטרות אלה, חייב להתברר במשפט, וכל מה שזר להן, יש להוציאו מכלל הדיון; </w:t>
      </w:r>
      <w:r w:rsidRPr="00A35E65">
        <w:rPr>
          <w:rFonts w:ascii="David" w:eastAsia="Times New Roman" w:hAnsi="David" w:cs="David"/>
          <w:b/>
          <w:bCs/>
          <w:color w:val="000000"/>
          <w:sz w:val="24"/>
          <w:szCs w:val="24"/>
          <w:rtl/>
        </w:rPr>
        <w:t>וכל התימרות לחרוג ממסגרת זו, לא זו בלבד שהיא אסורה לבית המשפט, אלא סופה כישלון חרוץ</w:t>
      </w:r>
      <w:r w:rsidRPr="00A35E65">
        <w:rPr>
          <w:rFonts w:ascii="David" w:eastAsia="Times New Roman" w:hAnsi="David" w:cs="David"/>
          <w:color w:val="000000"/>
          <w:sz w:val="24"/>
          <w:szCs w:val="24"/>
          <w:rtl/>
        </w:rPr>
        <w:t>" (פסקה 2 לפסק הדין; הדגשות לא במקור).</w:t>
      </w:r>
      <w:r w:rsidRPr="00A35E65">
        <w:rPr>
          <w:rFonts w:ascii="David" w:eastAsia="Times New Roman" w:hAnsi="David" w:cs="David"/>
          <w:sz w:val="24"/>
          <w:szCs w:val="24"/>
          <w:rtl/>
        </w:rPr>
        <w:t xml:space="preserve">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עם כל הכבוד, עדויות ע.ה 2. ע.ה 3 לא רלוונטיות לנסיבות המקרה הקונקרטי דנן. כפי שצוין בהכרעת הדין, הן לא  מכירות את הקטין, לא מכירות את הנאשמים, אינן נחשבות כעדות מומחיות בנושא מסוים ואף אין להן היכרות עם מערכת החינוך בקריית מלאכי.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במקרה של ע.ה.2, אין לה אף היכרות מינימלית עם מערכת החינוך בקריית מלאכי (שורות 15-21, עמוד 28 לפרוטוקול), ועדותה לא כללה ידע קונקרטי רלוונטי לעניינו של הקטין והנאשמים.</w:t>
      </w:r>
    </w:p>
    <w:p w:rsidR="00A35E65" w:rsidRPr="00A35E65" w:rsidRDefault="00A35E65" w:rsidP="00A35E65">
      <w:pPr>
        <w:spacing w:before="240" w:after="0" w:line="360" w:lineRule="auto"/>
        <w:jc w:val="both"/>
        <w:rPr>
          <w:rFonts w:ascii="David" w:eastAsia="Times New Roman" w:hAnsi="David" w:cs="David"/>
          <w:sz w:val="24"/>
          <w:szCs w:val="24"/>
        </w:rPr>
      </w:pPr>
      <w:r w:rsidRPr="00A35E65">
        <w:rPr>
          <w:rFonts w:ascii="David" w:eastAsia="Times New Roman" w:hAnsi="David" w:cs="David"/>
          <w:sz w:val="24"/>
          <w:szCs w:val="24"/>
          <w:rtl/>
        </w:rPr>
        <w:t xml:space="preserve">הגדילה ע.ה 2 כאשר העידה בביטחון רב וללא בדל ראייה או ניסיון מקצועי מוכח בתחום, על כך שחוק החינוך וחוזר המנכ"ל בעניין חינוך ביתי, פוגעים בזכות יסוד של ההורים לספק המענה  "הנכון ביותר לילד " וכך העידה : </w:t>
      </w:r>
    </w:p>
    <w:p w:rsidR="00A35E65" w:rsidRPr="00A35E65" w:rsidRDefault="00A35E65" w:rsidP="00A35E65">
      <w:pPr>
        <w:numPr>
          <w:ilvl w:val="0"/>
          <w:numId w:val="2"/>
        </w:numPr>
        <w:snapToGrid w:val="0"/>
        <w:spacing w:after="0" w:line="360" w:lineRule="auto"/>
        <w:jc w:val="both"/>
        <w:rPr>
          <w:rFonts w:ascii="Arial" w:eastAsia="Times New Roman" w:hAnsi="Arial" w:cs="David"/>
          <w:sz w:val="24"/>
          <w:szCs w:val="24"/>
          <w:rtl/>
          <w:lang w:eastAsia="he-IL"/>
        </w:rPr>
      </w:pPr>
      <w:r w:rsidRPr="00A35E65">
        <w:rPr>
          <w:rFonts w:ascii="David" w:eastAsia="Times New Roman" w:hAnsi="David" w:cs="David"/>
          <w:b/>
          <w:sz w:val="26"/>
          <w:szCs w:val="24"/>
          <w:rtl/>
          <w:lang w:eastAsia="he-IL"/>
        </w:rPr>
        <w:t xml:space="preserve">” </w:t>
      </w:r>
      <w:r w:rsidRPr="00A35E65">
        <w:rPr>
          <w:rFonts w:ascii="Arial" w:eastAsia="Times New Roman" w:hAnsi="Arial" w:cs="David"/>
          <w:b/>
          <w:sz w:val="24"/>
          <w:szCs w:val="24"/>
          <w:rtl/>
          <w:lang w:eastAsia="he-IL"/>
        </w:rPr>
        <w:t>כשראיתי מה קורה עם הכוונה והחוקים שמאוד נכונים, שאמורים לשמור בנושא החינוך הביתי, אני לא רוצה להישמע ביקורתית וזו ההסתכלות וההבנה שלי, בפועל החוקים נכונים כדי ליישם אותם, וכאשר מיישמים אותם בלי להסתכל על התמונה הכללית הם פוגעים בזכות היסוד וחובתו של ההורה לספק את המענה הנכון ביותר לילד. אני יודעת שחוק לימוד חובה והפיקוח עליו נועד...</w:t>
      </w:r>
    </w:p>
    <w:p w:rsidR="00A35E65" w:rsidRPr="00A35E65" w:rsidRDefault="00A35E65" w:rsidP="00A35E65">
      <w:pPr>
        <w:tabs>
          <w:tab w:val="left" w:pos="720"/>
        </w:tabs>
        <w:snapToGrid w:val="0"/>
        <w:spacing w:after="0" w:line="360" w:lineRule="auto"/>
        <w:ind w:left="720"/>
        <w:jc w:val="both"/>
        <w:rPr>
          <w:rFonts w:ascii="David" w:eastAsia="Times New Roman" w:hAnsi="David" w:cs="David"/>
          <w:b/>
          <w:bCs/>
          <w:sz w:val="26"/>
          <w:szCs w:val="24"/>
          <w:rtl/>
          <w:lang w:eastAsia="he-IL"/>
        </w:rPr>
      </w:pPr>
      <w:r w:rsidRPr="00A35E65">
        <w:rPr>
          <w:rFonts w:ascii="Arial" w:eastAsia="Times New Roman" w:hAnsi="Arial" w:cs="David"/>
          <w:sz w:val="26"/>
          <w:szCs w:val="24"/>
          <w:rtl/>
          <w:lang w:eastAsia="he-IL"/>
        </w:rPr>
        <w:t xml:space="preserve">לשאלת ביהמ"ש, אין לי הכשרה משפטית. " </w:t>
      </w:r>
      <w:r w:rsidRPr="00A35E65">
        <w:rPr>
          <w:rFonts w:ascii="David" w:eastAsia="Times New Roman" w:hAnsi="David" w:cs="David"/>
          <w:b/>
          <w:bCs/>
          <w:sz w:val="26"/>
          <w:szCs w:val="24"/>
          <w:rtl/>
          <w:lang w:eastAsia="he-IL"/>
        </w:rPr>
        <w:t xml:space="preserve">( עמ' 20 שו' 17-21 )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 xml:space="preserve"> באשר לע.ה.3</w:t>
      </w:r>
      <w:r w:rsidRPr="00A35E65">
        <w:rPr>
          <w:rFonts w:ascii="David" w:eastAsia="Times New Roman" w:hAnsi="David" w:cs="David"/>
          <w:sz w:val="24"/>
          <w:szCs w:val="24"/>
          <w:rtl/>
        </w:rPr>
        <w:t>, גם אין לה הכרות ישירה עם מערכת החינוך בקריית מלאכי, אך היא למדה עליה "משיחה" שהייתה לה עם משפחה אחת המתגוררת בעיר (שו' 15-16 בעמ' 30 ושו'  25-30 בעמ' 32 לפרו'). עסקינן בעדות שמועה – שאינה ראייה קבילה.</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ניתן לקבוע כי עדויות ע.ה 2,3 ברובן מהוות רשמים המוסקים מדעה אישית, סובייקטיבית, ללא ביסוס ראייתי וללא קשר ישיר לנסיבות הנאשמים ו/או הקטין במקרה דנן. </w:t>
      </w:r>
    </w:p>
    <w:p w:rsidR="00A35E65" w:rsidRPr="00A35E65" w:rsidRDefault="00A35E65" w:rsidP="00A35E65">
      <w:pPr>
        <w:spacing w:before="240" w:after="0" w:line="360" w:lineRule="auto"/>
        <w:jc w:val="both"/>
        <w:rPr>
          <w:rFonts w:ascii="David" w:eastAsia="Times New Roman" w:hAnsi="David" w:cs="David"/>
          <w:sz w:val="24"/>
          <w:szCs w:val="24"/>
        </w:rPr>
      </w:pPr>
      <w:r w:rsidRPr="00A35E65">
        <w:rPr>
          <w:rFonts w:ascii="David" w:eastAsia="Times New Roman" w:hAnsi="David" w:cs="David"/>
          <w:sz w:val="24"/>
          <w:szCs w:val="24"/>
          <w:rtl/>
        </w:rPr>
        <w:t xml:space="preserve">צודקת ב"כ המאשימה כשטענה בסיכומיה, כי אין לביהמ"ש לייחס לעדויות ע.ה.2 וע.ה. 3 מפאת משקל בשל חוסר רלוונטיות .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lastRenderedPageBreak/>
        <w:t xml:space="preserve">לסכום, דעתן האישית של עדות ההגנה אינה הוכחה למצב מערכת החינוך ולא מהווה תמיכה לטענות הנאשמת הנשענות על הנחות, השערות ו/או רכילות, שאינן ראייה קבילה בהליך. </w:t>
      </w:r>
    </w:p>
    <w:p w:rsidR="00A35E65" w:rsidRPr="00A35E65" w:rsidRDefault="00A35E65" w:rsidP="00A35E65">
      <w:pPr>
        <w:spacing w:before="240" w:line="360" w:lineRule="auto"/>
        <w:contextualSpacing/>
        <w:jc w:val="both"/>
        <w:rPr>
          <w:rFonts w:ascii="David" w:eastAsia="Times New Roman" w:hAnsi="David" w:cs="David"/>
          <w:b/>
          <w:bCs/>
          <w:sz w:val="24"/>
          <w:szCs w:val="24"/>
          <w:u w:val="single"/>
          <w:rtl/>
        </w:rPr>
      </w:pPr>
    </w:p>
    <w:p w:rsidR="00A35E65" w:rsidRPr="00A35E65" w:rsidRDefault="00A35E65" w:rsidP="00A35E65">
      <w:pPr>
        <w:spacing w:before="240" w:line="360" w:lineRule="auto"/>
        <w:contextualSpacing/>
        <w:jc w:val="both"/>
        <w:rPr>
          <w:rFonts w:ascii="David" w:eastAsia="Times New Roman" w:hAnsi="David" w:cs="David"/>
          <w:b/>
          <w:bCs/>
          <w:sz w:val="24"/>
          <w:szCs w:val="24"/>
          <w:u w:val="single"/>
          <w:rtl/>
        </w:rPr>
      </w:pPr>
    </w:p>
    <w:p w:rsidR="00A35E65" w:rsidRPr="00A35E65" w:rsidRDefault="00A35E65" w:rsidP="00A35E65">
      <w:pPr>
        <w:spacing w:before="240" w:line="360" w:lineRule="auto"/>
        <w:contextualSpacing/>
        <w:jc w:val="both"/>
        <w:rPr>
          <w:rFonts w:ascii="David" w:eastAsia="Times New Roman" w:hAnsi="David" w:cs="David"/>
          <w:b/>
          <w:sz w:val="24"/>
          <w:szCs w:val="24"/>
          <w:rtl/>
        </w:rPr>
      </w:pPr>
      <w:r w:rsidRPr="00A35E65">
        <w:rPr>
          <w:rFonts w:ascii="David" w:eastAsia="Times New Roman" w:hAnsi="David" w:cs="David"/>
          <w:bCs/>
          <w:sz w:val="24"/>
          <w:szCs w:val="24"/>
          <w:rtl/>
        </w:rPr>
        <w:t xml:space="preserve">הניסיון לתקוף את חוקיות חוק חינוך חובה </w:t>
      </w:r>
      <w:r w:rsidRPr="00A35E65">
        <w:rPr>
          <w:rFonts w:ascii="David" w:eastAsia="Times New Roman" w:hAnsi="David" w:cs="David"/>
          <w:b/>
          <w:sz w:val="24"/>
          <w:szCs w:val="24"/>
          <w:rtl/>
        </w:rPr>
        <w:t xml:space="preserve">- טענות בדבר פגיעה בזכויות חוקתיות של ההורים </w:t>
      </w:r>
    </w:p>
    <w:p w:rsidR="00A35E65" w:rsidRPr="00A35E65" w:rsidRDefault="00A35E65" w:rsidP="00A35E65">
      <w:pPr>
        <w:spacing w:before="240" w:after="0" w:line="276"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ב"כ הנאשם טען כי הפרשנות של המאשימה לחוק חינוך חובה מהוה פגיעה בזכות חוקתית של ההורים. </w:t>
      </w:r>
    </w:p>
    <w:p w:rsidR="00A35E65" w:rsidRPr="00A35E65" w:rsidRDefault="00A35E65" w:rsidP="00A35E65">
      <w:pPr>
        <w:spacing w:before="240" w:after="0" w:line="276" w:lineRule="auto"/>
        <w:jc w:val="both"/>
        <w:rPr>
          <w:rFonts w:ascii="David" w:eastAsia="Times New Roman" w:hAnsi="David" w:cs="David"/>
          <w:bCs/>
          <w:sz w:val="24"/>
          <w:szCs w:val="24"/>
          <w:rtl/>
        </w:rPr>
      </w:pPr>
      <w:r w:rsidRPr="00A35E65">
        <w:rPr>
          <w:rFonts w:ascii="David" w:eastAsia="Times New Roman" w:hAnsi="David" w:cs="David"/>
          <w:b/>
          <w:sz w:val="24"/>
          <w:szCs w:val="24"/>
          <w:rtl/>
        </w:rPr>
        <w:t>ב"כ הנאשמים טען כי אינו תוקף את חוקיות חוק חינוך חובה, אלא מבקש מביהמ"ש לאזן בין העבירה הקבועה בסעיף 4 לחוק דנן לבין זכויותיהם החוקתיות של הנאשמים, בפרט זכותם החוקתית של ההורים להשפיע על תכני חינוך המועברים לילדיהם, בהתאם לפרשת אונגרפלד</w:t>
      </w:r>
      <w:r w:rsidRPr="00A35E65">
        <w:rPr>
          <w:rFonts w:ascii="David" w:eastAsia="Times New Roman" w:hAnsi="David" w:cs="David"/>
          <w:bCs/>
          <w:sz w:val="24"/>
          <w:szCs w:val="24"/>
          <w:rtl/>
        </w:rPr>
        <w:t>.</w:t>
      </w:r>
    </w:p>
    <w:p w:rsidR="00A35E65" w:rsidRPr="00A35E65" w:rsidRDefault="00A35E65" w:rsidP="00A35E65">
      <w:pPr>
        <w:spacing w:before="240" w:after="0" w:line="360" w:lineRule="auto"/>
        <w:jc w:val="both"/>
        <w:rPr>
          <w:rFonts w:ascii="David" w:eastAsia="Times New Roman" w:hAnsi="David" w:cs="David"/>
          <w:bCs/>
          <w:sz w:val="24"/>
          <w:szCs w:val="24"/>
          <w:rtl/>
        </w:rPr>
      </w:pPr>
      <w:r w:rsidRPr="00A35E65">
        <w:rPr>
          <w:rFonts w:ascii="David" w:eastAsia="Times New Roman" w:hAnsi="David" w:cs="David"/>
          <w:b/>
          <w:sz w:val="24"/>
          <w:szCs w:val="24"/>
          <w:rtl/>
        </w:rPr>
        <w:t>ואולם בהעלאת הטענה שחוק לימוד חובה מהוה פגיעה בזכויות חוקתיות לכאורה,  ב"כ הנאשמים מזמין את בית המשפט לתקוף תקיפה ישירה את חוקיות חוק לימוד חובה, משימה שאינה בסמכותו העניינית,</w:t>
      </w:r>
      <w:r w:rsidRPr="00A35E65">
        <w:rPr>
          <w:rFonts w:ascii="David" w:eastAsia="Times New Roman" w:hAnsi="David" w:cs="David"/>
          <w:bCs/>
          <w:sz w:val="24"/>
          <w:szCs w:val="24"/>
          <w:rtl/>
        </w:rPr>
        <w:t xml:space="preserve"> </w:t>
      </w:r>
      <w:r w:rsidRPr="00A35E65">
        <w:rPr>
          <w:rFonts w:ascii="David" w:eastAsia="Times New Roman" w:hAnsi="David" w:cs="David"/>
          <w:b/>
          <w:sz w:val="24"/>
          <w:szCs w:val="24"/>
          <w:rtl/>
        </w:rPr>
        <w:t>כפי שיבואר להלן.</w:t>
      </w:r>
      <w:r w:rsidRPr="00A35E65">
        <w:rPr>
          <w:rFonts w:ascii="David" w:eastAsia="Times New Roman" w:hAnsi="David" w:cs="David"/>
          <w:bCs/>
          <w:sz w:val="24"/>
          <w:szCs w:val="24"/>
          <w:rtl/>
        </w:rPr>
        <w:t xml:space="preserve">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b/>
          <w:bCs/>
          <w:sz w:val="24"/>
          <w:szCs w:val="24"/>
          <w:rtl/>
        </w:rPr>
        <w:t>"תקיפה ישירה</w:t>
      </w:r>
      <w:r w:rsidRPr="00A35E65">
        <w:rPr>
          <w:rFonts w:ascii="David" w:eastAsia="Calibri" w:hAnsi="David" w:cs="David"/>
          <w:sz w:val="24"/>
          <w:szCs w:val="24"/>
        </w:rPr>
        <w:t xml:space="preserve"> </w:t>
      </w:r>
      <w:r w:rsidRPr="00A35E65">
        <w:rPr>
          <w:rFonts w:ascii="David" w:eastAsia="Calibri" w:hAnsi="David" w:cs="David"/>
          <w:sz w:val="24"/>
          <w:szCs w:val="24"/>
          <w:rtl/>
        </w:rPr>
        <w:t xml:space="preserve">על החלטה או פעולה של רשויות המנהל והשלטון, בכל מצב ובכל מקרה – אינה מצויה בגדר המקרים בהם בתי-המשפט רשאים לחרוג מסמכותם העניינית: </w:t>
      </w:r>
    </w:p>
    <w:p w:rsidR="00A35E65" w:rsidRPr="00A35E65" w:rsidRDefault="00A35E65" w:rsidP="00A35E65">
      <w:pPr>
        <w:spacing w:before="240" w:after="0" w:line="360" w:lineRule="auto"/>
        <w:ind w:left="1418" w:right="1418"/>
        <w:jc w:val="both"/>
        <w:rPr>
          <w:rFonts w:ascii="David" w:eastAsia="Calibri" w:hAnsi="David" w:cs="David"/>
          <w:i/>
          <w:iCs/>
          <w:sz w:val="24"/>
          <w:szCs w:val="24"/>
          <w:rtl/>
        </w:rPr>
      </w:pPr>
      <w:r w:rsidRPr="00A35E65">
        <w:rPr>
          <w:rFonts w:ascii="David" w:eastAsia="Calibri" w:hAnsi="David" w:cs="David"/>
          <w:i/>
          <w:iCs/>
          <w:sz w:val="24"/>
          <w:szCs w:val="24"/>
          <w:rtl/>
        </w:rPr>
        <w:t>מקום שמהותו האמיתית של ההליך או מרכז הכובד שלו הוא בהכרעה בשאלת תוקפו וחוקיותו של אקט שלטוני, ובמיוחד כאשר מושא התקיפה הוא שיקול הדעת השלטוני לגופו, או כאשר מדובר בסוגיה שלטונית מורכבת או רגישה או בעלת השלכה רחבה, יש להימנע בדרך כלל מבירור העניין במסגרת תקיפה עקיפה.</w:t>
      </w:r>
      <w:r w:rsidRPr="00A35E65">
        <w:rPr>
          <w:rFonts w:ascii="David" w:eastAsia="Calibri" w:hAnsi="David" w:cs="David"/>
          <w:sz w:val="24"/>
          <w:szCs w:val="24"/>
          <w:rtl/>
        </w:rPr>
        <w:t xml:space="preserve"> (פסקה 15 לפסק דינו של כב' השופט מזוז ב</w:t>
      </w:r>
      <w:hyperlink r:id="rId15" w:history="1">
        <w:r w:rsidRPr="00A35E65">
          <w:rPr>
            <w:rFonts w:ascii="David" w:eastAsia="Calibri" w:hAnsi="David" w:cs="David"/>
            <w:color w:val="0000FF"/>
            <w:sz w:val="24"/>
            <w:szCs w:val="24"/>
            <w:u w:val="single"/>
            <w:rtl/>
          </w:rPr>
          <w:t>ע"א 4291/17 </w:t>
        </w:r>
        <w:r w:rsidRPr="00A35E65">
          <w:rPr>
            <w:rFonts w:ascii="David" w:eastAsia="Calibri" w:hAnsi="David" w:cs="David"/>
            <w:b/>
            <w:bCs/>
            <w:color w:val="0000FF"/>
            <w:sz w:val="24"/>
            <w:szCs w:val="24"/>
            <w:u w:val="single"/>
            <w:rtl/>
          </w:rPr>
          <w:t>עו"ד מוטי אלפריח נ' עיריית חיפה</w:t>
        </w:r>
        <w:r w:rsidRPr="00A35E65">
          <w:rPr>
            <w:rFonts w:ascii="David" w:eastAsia="Calibri" w:hAnsi="David" w:cs="David"/>
            <w:color w:val="0000FF"/>
            <w:sz w:val="24"/>
            <w:szCs w:val="24"/>
            <w:u w:val="single"/>
            <w:rtl/>
          </w:rPr>
          <w:t> (נבו 06.03.2019)‏</w:t>
        </w:r>
      </w:hyperlink>
      <w:r w:rsidRPr="00A35E65">
        <w:rPr>
          <w:rFonts w:ascii="David" w:eastAsia="Calibri" w:hAnsi="David" w:cs="David"/>
          <w:color w:val="000000"/>
          <w:sz w:val="24"/>
          <w:szCs w:val="24"/>
          <w:rtl/>
        </w:rPr>
        <w:t>‏)</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ראו גם </w:t>
      </w:r>
      <w:hyperlink r:id="rId16" w:anchor="0" w:history="1">
        <w:r w:rsidRPr="00A35E65">
          <w:rPr>
            <w:rFonts w:ascii="David" w:eastAsia="Calibri" w:hAnsi="David" w:cs="David"/>
            <w:color w:val="0000FF"/>
            <w:sz w:val="24"/>
            <w:szCs w:val="24"/>
            <w:u w:val="single"/>
            <w:rtl/>
          </w:rPr>
          <w:t xml:space="preserve">רע"פ 7451/07 </w:t>
        </w:r>
        <w:r w:rsidRPr="00A35E65">
          <w:rPr>
            <w:rFonts w:ascii="David" w:eastAsia="Calibri" w:hAnsi="David" w:cs="David"/>
            <w:b/>
            <w:bCs/>
            <w:color w:val="0000FF"/>
            <w:sz w:val="24"/>
            <w:szCs w:val="24"/>
            <w:u w:val="single"/>
            <w:rtl/>
          </w:rPr>
          <w:t>מדינת ישראל נ' אהרונוביץ</w:t>
        </w:r>
      </w:hyperlink>
      <w:r w:rsidRPr="00A35E65">
        <w:rPr>
          <w:rFonts w:ascii="David" w:eastAsia="Calibri" w:hAnsi="David" w:cs="David"/>
          <w:sz w:val="24"/>
          <w:szCs w:val="24"/>
          <w:rtl/>
        </w:rPr>
        <w:t xml:space="preserve">, </w:t>
      </w:r>
      <w:hyperlink r:id="rId17" w:anchor="0" w:history="1">
        <w:r w:rsidRPr="00A35E65">
          <w:rPr>
            <w:rFonts w:ascii="David" w:eastAsia="Calibri" w:hAnsi="David" w:cs="David"/>
            <w:color w:val="0000FF"/>
            <w:sz w:val="24"/>
            <w:szCs w:val="24"/>
            <w:u w:val="single"/>
            <w:rtl/>
          </w:rPr>
          <w:t>רע"א 88/17 גולן נ' ראש עיריית תל אביב ואח'</w:t>
        </w:r>
      </w:hyperlink>
      <w:r w:rsidRPr="00A35E65">
        <w:rPr>
          <w:rFonts w:ascii="David" w:eastAsia="Calibri" w:hAnsi="David" w:cs="David"/>
          <w:sz w:val="24"/>
          <w:szCs w:val="24"/>
          <w:rtl/>
        </w:rPr>
        <w:t>."</w:t>
      </w:r>
    </w:p>
    <w:p w:rsidR="00A35E65" w:rsidRPr="00A35E65" w:rsidRDefault="00A35E65" w:rsidP="00A35E65">
      <w:pPr>
        <w:spacing w:after="0" w:line="360" w:lineRule="auto"/>
        <w:jc w:val="both"/>
        <w:rPr>
          <w:rFonts w:ascii="David" w:eastAsia="Calibri" w:hAnsi="David" w:cs="David"/>
          <w:sz w:val="24"/>
          <w:szCs w:val="24"/>
          <w:rtl/>
        </w:rPr>
      </w:pPr>
    </w:p>
    <w:p w:rsidR="00A35E65" w:rsidRPr="00A35E65" w:rsidRDefault="00A35E65" w:rsidP="00A35E65">
      <w:pPr>
        <w:spacing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אמנם ביהמ"ש </w:t>
      </w:r>
      <w:r w:rsidRPr="00A35E65">
        <w:rPr>
          <w:rFonts w:ascii="David" w:eastAsia="Calibri" w:hAnsi="David" w:cs="David"/>
          <w:b/>
          <w:bCs/>
          <w:sz w:val="24"/>
          <w:szCs w:val="24"/>
          <w:rtl/>
        </w:rPr>
        <w:t>רשאי</w:t>
      </w:r>
      <w:r w:rsidRPr="00A35E65">
        <w:rPr>
          <w:rFonts w:ascii="David" w:eastAsia="Calibri" w:hAnsi="David" w:cs="David"/>
          <w:sz w:val="24"/>
          <w:szCs w:val="24"/>
          <w:rtl/>
        </w:rPr>
        <w:t xml:space="preserve"> לחרוג מסמכותו העניינית ולהידרש עקרונית לשאלת ב"כ הנאשמים במסגרת  </w:t>
      </w:r>
      <w:r w:rsidRPr="00A35E65">
        <w:rPr>
          <w:rFonts w:ascii="David" w:eastAsia="Calibri" w:hAnsi="David" w:cs="David"/>
          <w:b/>
          <w:bCs/>
          <w:sz w:val="24"/>
          <w:szCs w:val="24"/>
          <w:rtl/>
        </w:rPr>
        <w:t>תקיפה עקיפה</w:t>
      </w:r>
      <w:r w:rsidRPr="00A35E65">
        <w:rPr>
          <w:rFonts w:ascii="David" w:eastAsia="Calibri" w:hAnsi="David" w:cs="David"/>
          <w:sz w:val="24"/>
          <w:szCs w:val="24"/>
          <w:rtl/>
        </w:rPr>
        <w:t xml:space="preserve"> על מנת לקדם יעילות של הליך, אם מתעוררת שאלה "</w:t>
      </w:r>
      <w:r w:rsidRPr="00A35E65">
        <w:rPr>
          <w:rFonts w:ascii="David" w:eastAsia="Calibri" w:hAnsi="David" w:cs="David"/>
          <w:b/>
          <w:bCs/>
          <w:sz w:val="24"/>
          <w:szCs w:val="24"/>
          <w:rtl/>
        </w:rPr>
        <w:t>אגב ענין"</w:t>
      </w:r>
      <w:r w:rsidRPr="00A35E65">
        <w:rPr>
          <w:rFonts w:ascii="David" w:eastAsia="Calibri" w:hAnsi="David" w:cs="David"/>
          <w:sz w:val="24"/>
          <w:szCs w:val="24"/>
          <w:rtl/>
        </w:rPr>
        <w:t xml:space="preserve"> [הסמכות מעוגנת בסעיף 76 לחוק בתי המשפט [נוסח משולב], התשמ"ד-1984 ("</w:t>
      </w:r>
      <w:r w:rsidRPr="00A35E65">
        <w:rPr>
          <w:rFonts w:ascii="David" w:eastAsia="Calibri" w:hAnsi="David" w:cs="David"/>
          <w:b/>
          <w:bCs/>
          <w:sz w:val="24"/>
          <w:szCs w:val="24"/>
          <w:rtl/>
        </w:rPr>
        <w:t>חוק בתי המשפט</w:t>
      </w:r>
      <w:r w:rsidRPr="00A35E65">
        <w:rPr>
          <w:rFonts w:ascii="David" w:eastAsia="Calibri" w:hAnsi="David" w:cs="David"/>
          <w:sz w:val="24"/>
          <w:szCs w:val="24"/>
          <w:rtl/>
        </w:rPr>
        <w:t xml:space="preserve">")]. ואולם בפסיקה נקבע כי </w:t>
      </w:r>
      <w:r w:rsidRPr="00A35E65">
        <w:rPr>
          <w:rFonts w:ascii="David" w:eastAsia="Calibri" w:hAnsi="David" w:cs="David"/>
          <w:b/>
          <w:bCs/>
          <w:sz w:val="24"/>
          <w:szCs w:val="24"/>
          <w:rtl/>
        </w:rPr>
        <w:t>השימוש בתקיפה עקיפה של מעשה מנהלי לצורך הכרעה בהליך פלילי או אזרחי יהא מצומצם [</w:t>
      </w:r>
      <w:r w:rsidRPr="00A35E65">
        <w:rPr>
          <w:rFonts w:ascii="David" w:eastAsia="Calibri" w:hAnsi="David" w:cs="David"/>
          <w:sz w:val="24"/>
          <w:szCs w:val="24"/>
          <w:rtl/>
        </w:rPr>
        <w:t xml:space="preserve"> ראו: </w:t>
      </w:r>
      <w:r w:rsidRPr="00A35E65">
        <w:rPr>
          <w:rFonts w:ascii="David" w:eastAsia="Times New Roman" w:hAnsi="David" w:cs="David"/>
          <w:noProof/>
          <w:sz w:val="24"/>
          <w:szCs w:val="24"/>
          <w:rtl/>
        </w:rPr>
        <w:t xml:space="preserve">ע"א 4291/17 </w:t>
      </w:r>
      <w:r w:rsidRPr="00A35E65">
        <w:rPr>
          <w:rFonts w:ascii="David" w:eastAsia="Times New Roman" w:hAnsi="David" w:cs="David"/>
          <w:b/>
          <w:bCs/>
          <w:noProof/>
          <w:sz w:val="24"/>
          <w:szCs w:val="24"/>
          <w:rtl/>
        </w:rPr>
        <w:t xml:space="preserve">עו"ד אלפריח נ' עיריית חיפה </w:t>
      </w:r>
      <w:r w:rsidRPr="00A35E65">
        <w:rPr>
          <w:rFonts w:ascii="David" w:eastAsia="Times New Roman" w:hAnsi="David" w:cs="David"/>
          <w:noProof/>
          <w:sz w:val="24"/>
          <w:szCs w:val="24"/>
          <w:rtl/>
        </w:rPr>
        <w:t xml:space="preserve">(6.3.19) (להלן: </w:t>
      </w:r>
      <w:r w:rsidRPr="00A35E65">
        <w:rPr>
          <w:rFonts w:ascii="David" w:eastAsia="Times New Roman" w:hAnsi="David" w:cs="David"/>
          <w:b/>
          <w:bCs/>
          <w:noProof/>
          <w:sz w:val="24"/>
          <w:szCs w:val="24"/>
          <w:rtl/>
        </w:rPr>
        <w:t>ענין אלפריח</w:t>
      </w:r>
      <w:r w:rsidRPr="00A35E65">
        <w:rPr>
          <w:rFonts w:ascii="David" w:eastAsia="Times New Roman" w:hAnsi="David" w:cs="David"/>
          <w:noProof/>
          <w:sz w:val="24"/>
          <w:szCs w:val="24"/>
          <w:rtl/>
        </w:rPr>
        <w:t>) ו</w:t>
      </w:r>
      <w:r w:rsidRPr="00A35E65">
        <w:rPr>
          <w:rFonts w:ascii="David" w:eastAsia="Calibri" w:hAnsi="David" w:cs="David"/>
          <w:sz w:val="24"/>
          <w:szCs w:val="24"/>
          <w:rtl/>
        </w:rPr>
        <w:t xml:space="preserve">רע"פ 7451/07 </w:t>
      </w:r>
      <w:r w:rsidRPr="00A35E65">
        <w:rPr>
          <w:rFonts w:ascii="David" w:eastAsia="Calibri" w:hAnsi="David" w:cs="David"/>
          <w:b/>
          <w:bCs/>
          <w:rtl/>
        </w:rPr>
        <w:t>מדינת ישראל נ' אהרונוביץ</w:t>
      </w:r>
      <w:r w:rsidRPr="00A35E65">
        <w:rPr>
          <w:rFonts w:ascii="David" w:eastAsia="Calibri" w:hAnsi="David" w:cs="David"/>
          <w:sz w:val="24"/>
          <w:szCs w:val="24"/>
          <w:rtl/>
        </w:rPr>
        <w:t xml:space="preserve"> (2.8.08) (להלן: </w:t>
      </w:r>
      <w:r w:rsidRPr="00A35E65">
        <w:rPr>
          <w:rFonts w:ascii="David" w:eastAsia="Calibri" w:hAnsi="David" w:cs="David"/>
          <w:b/>
          <w:bCs/>
          <w:rtl/>
        </w:rPr>
        <w:t>ענין אהרונוביץ</w:t>
      </w:r>
      <w:r w:rsidRPr="00A35E65">
        <w:rPr>
          <w:rFonts w:ascii="David" w:eastAsia="Calibri" w:hAnsi="David" w:cs="David"/>
          <w:sz w:val="24"/>
          <w:szCs w:val="24"/>
          <w:rtl/>
        </w:rPr>
        <w:t>)].</w:t>
      </w:r>
    </w:p>
    <w:p w:rsidR="00A35E65" w:rsidRPr="00A35E65" w:rsidRDefault="00A35E65" w:rsidP="00A35E65">
      <w:pPr>
        <w:spacing w:after="0" w:line="360" w:lineRule="auto"/>
        <w:jc w:val="both"/>
        <w:rPr>
          <w:rFonts w:ascii="David" w:eastAsia="Calibri" w:hAnsi="David" w:cs="David"/>
          <w:sz w:val="24"/>
          <w:szCs w:val="24"/>
        </w:rPr>
      </w:pPr>
    </w:p>
    <w:p w:rsidR="00A35E65" w:rsidRPr="00A35E65" w:rsidRDefault="00A35E65" w:rsidP="00A35E65">
      <w:pPr>
        <w:spacing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בנוסף, </w:t>
      </w:r>
      <w:r w:rsidRPr="00A35E65">
        <w:rPr>
          <w:rFonts w:ascii="David" w:eastAsia="Calibri" w:hAnsi="David" w:cs="David"/>
          <w:b/>
          <w:bCs/>
          <w:sz w:val="24"/>
          <w:szCs w:val="24"/>
          <w:rtl/>
        </w:rPr>
        <w:t>נוכח לשון סעיף 76 לחוק תי המשפט הנוקט בלשון " רשאי" לבית המשפט שיקול דעת</w:t>
      </w:r>
      <w:r w:rsidRPr="00A35E65">
        <w:rPr>
          <w:rFonts w:ascii="David" w:eastAsia="Calibri" w:hAnsi="David" w:cs="David"/>
          <w:sz w:val="24"/>
          <w:szCs w:val="24"/>
          <w:rtl/>
        </w:rPr>
        <w:t xml:space="preserve"> לבחון אם השאלה שתקיפתה העקיפה מתבקשת  " ראויה ומתאימה לברור במסגרת תקיפה עקיפה  " או שמא ראוי או אף מתחייב שהמחלוקת תתברר בהליך של תקיפה ישירה בפני בית משפט המנהלי המוסמך " [ ראו סעיף 13 לפסק דינו של כב' השו' מזוז </w:t>
      </w:r>
      <w:r w:rsidRPr="00A35E65">
        <w:rPr>
          <w:rFonts w:ascii="David" w:eastAsia="Calibri" w:hAnsi="David" w:cs="David"/>
          <w:b/>
          <w:bCs/>
          <w:sz w:val="24"/>
          <w:szCs w:val="24"/>
          <w:rtl/>
        </w:rPr>
        <w:t>בענין אלפריח</w:t>
      </w:r>
      <w:r w:rsidRPr="00A35E65">
        <w:rPr>
          <w:rFonts w:ascii="David" w:eastAsia="Calibri" w:hAnsi="David" w:cs="David"/>
          <w:sz w:val="24"/>
          <w:szCs w:val="24"/>
          <w:rtl/>
        </w:rPr>
        <w:t xml:space="preserve"> ] משמע, קיומה של הסמכות אינו גורע משיקול דעת ביהמ"ש האם להפעיל אותה או לא. </w:t>
      </w:r>
    </w:p>
    <w:p w:rsidR="00A35E65" w:rsidRPr="00A35E65" w:rsidRDefault="00A35E65" w:rsidP="00A35E65">
      <w:pPr>
        <w:spacing w:after="0" w:line="360" w:lineRule="auto"/>
        <w:jc w:val="both"/>
        <w:rPr>
          <w:rFonts w:ascii="David" w:eastAsia="Calibri" w:hAnsi="David" w:cs="David"/>
          <w:sz w:val="24"/>
          <w:szCs w:val="24"/>
          <w:rtl/>
        </w:rPr>
      </w:pPr>
      <w:r w:rsidRPr="00A35E65">
        <w:rPr>
          <w:rFonts w:ascii="David" w:eastAsia="Calibri" w:hAnsi="David" w:cs="David"/>
          <w:sz w:val="24"/>
          <w:szCs w:val="24"/>
          <w:rtl/>
        </w:rPr>
        <w:lastRenderedPageBreak/>
        <w:t xml:space="preserve">במקרה שבפני </w:t>
      </w:r>
      <w:r w:rsidRPr="00A35E65">
        <w:rPr>
          <w:rFonts w:ascii="David" w:eastAsia="Times New Roman" w:hAnsi="David" w:cs="David"/>
          <w:b/>
          <w:sz w:val="24"/>
          <w:szCs w:val="24"/>
          <w:rtl/>
        </w:rPr>
        <w:t xml:space="preserve">ב"כ הנאשמים העלה את הטענה כי חוק חינוך חובה נוגד זכות חוקתית של ההורים באצטלה של  "פרשנות", "יישום הדין", תוך שהוא מבקש לאמץ אמרת אגב,  שניתנה בדעת יחיד על-ידי המשנה לנשיא נאור בפרשת רובינשטיין. </w:t>
      </w:r>
    </w:p>
    <w:p w:rsidR="00A35E65" w:rsidRPr="00A35E65" w:rsidRDefault="00A35E65" w:rsidP="00A35E65">
      <w:pPr>
        <w:spacing w:after="0" w:line="360" w:lineRule="auto"/>
        <w:jc w:val="both"/>
        <w:rPr>
          <w:rFonts w:ascii="David" w:eastAsia="Calibri" w:hAnsi="David" w:cs="David"/>
          <w:sz w:val="24"/>
          <w:szCs w:val="24"/>
          <w:rtl/>
        </w:rPr>
      </w:pPr>
    </w:p>
    <w:p w:rsidR="00A35E65" w:rsidRPr="00A35E65" w:rsidRDefault="00A35E65" w:rsidP="00A35E65">
      <w:pPr>
        <w:spacing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מסגרת הדיון בתיק שבכותרת- תיק פק"ח המתנהל בבית משפט השלום בק"ג, אינה מתאימה להכרעה בסוגיה זו. המדובר בתקיפה ישירה שמקומה להתברר בבית משפט המנהלי המוסמך. </w:t>
      </w:r>
      <w:r w:rsidRPr="00A35E65">
        <w:rPr>
          <w:rFonts w:ascii="David" w:eastAsia="Times New Roman" w:hAnsi="David" w:cs="David"/>
          <w:b/>
          <w:sz w:val="24"/>
          <w:szCs w:val="24"/>
          <w:rtl/>
        </w:rPr>
        <w:t>הפסיקה מלמדת, כי הסוגיה עלתה בבית המשפט העליון אך לא הוכרעה. אין זה נכון ואף לא ראוי שבית המשפט זה יידרש לסוגיה במסגרת תקיפה עקיפה של חקיקה ראשית כפי שיבואר להלן.</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ב"כ הנאשמים בקש לבסס את עמדתו בגין קיומה של זכות חוקתית המתנגשת עם העבירה הקבועה בסעיף 4 לחוק לימוד חובה באמצעות שני פסקי דין: פרשת רובינשטיין ו</w:t>
      </w:r>
      <w:hyperlink r:id="rId18" w:history="1">
        <w:r w:rsidRPr="00A35E65">
          <w:rPr>
            <w:rFonts w:ascii="David" w:eastAsia="Calibri" w:hAnsi="David" w:cs="David"/>
            <w:color w:val="0000FF"/>
            <w:sz w:val="24"/>
            <w:szCs w:val="24"/>
            <w:u w:val="single"/>
            <w:rtl/>
          </w:rPr>
          <w:t>עע"מ 4716/17 שאדי ח'לול ואח' נ' המועצה המקומית גוש חלב ואח'</w:t>
        </w:r>
      </w:hyperlink>
      <w:r w:rsidRPr="00A35E65">
        <w:rPr>
          <w:rFonts w:ascii="David" w:eastAsia="Calibri" w:hAnsi="David" w:cs="David"/>
          <w:sz w:val="24"/>
          <w:szCs w:val="24"/>
          <w:rtl/>
        </w:rPr>
        <w:t xml:space="preserve"> ("</w:t>
      </w:r>
      <w:r w:rsidRPr="00A35E65">
        <w:rPr>
          <w:rFonts w:ascii="David" w:eastAsia="Calibri" w:hAnsi="David" w:cs="David"/>
          <w:b/>
          <w:bCs/>
          <w:sz w:val="24"/>
          <w:szCs w:val="24"/>
          <w:rtl/>
        </w:rPr>
        <w:t>פרשת ח'לול</w:t>
      </w:r>
      <w:r w:rsidRPr="00A35E65">
        <w:rPr>
          <w:rFonts w:ascii="David" w:eastAsia="Calibri" w:hAnsi="David" w:cs="David"/>
          <w:sz w:val="24"/>
          <w:szCs w:val="24"/>
          <w:rtl/>
        </w:rPr>
        <w:t>") (ראו סעיפים 1-2 בתשובה לכתב האישום שהוגשה על-ידי ההגנה ביום 14 ביוני, 2023 ופסקה 18 לסיכומי ההגנה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Cs/>
          <w:sz w:val="24"/>
          <w:szCs w:val="24"/>
          <w:rtl/>
        </w:rPr>
        <w:t xml:space="preserve">בניגוד לדעת ב"כ הנאשמים, מוצא ביהמ"ש כי שאלת קיומה של זכות חוקתית </w:t>
      </w:r>
      <w:r w:rsidRPr="00A35E65">
        <w:rPr>
          <w:rFonts w:ascii="David" w:eastAsia="Times New Roman" w:hAnsi="David" w:cs="David"/>
          <w:bCs/>
          <w:sz w:val="24"/>
          <w:szCs w:val="24"/>
          <w:u w:val="single"/>
          <w:rtl/>
        </w:rPr>
        <w:t>של הורים</w:t>
      </w:r>
      <w:r w:rsidRPr="00A35E65">
        <w:rPr>
          <w:rFonts w:ascii="David" w:eastAsia="Times New Roman" w:hAnsi="David" w:cs="David"/>
          <w:bCs/>
          <w:sz w:val="24"/>
          <w:szCs w:val="24"/>
          <w:rtl/>
        </w:rPr>
        <w:t xml:space="preserve"> להשפיע על חינוך ילדיהם לא הוכרעה בחקיקה או בפסיקה</w:t>
      </w:r>
      <w:r w:rsidRPr="00A35E65">
        <w:rPr>
          <w:rFonts w:ascii="David" w:eastAsia="Times New Roman" w:hAnsi="David" w:cs="David"/>
          <w:b/>
          <w:sz w:val="24"/>
          <w:szCs w:val="24"/>
          <w:rtl/>
        </w:rPr>
        <w:t>. עם זאת הזכות לחינוך, הוכרה כזכות יסוד של האדם ( ראו: פרשת רובינשטיין , ובג"צ 7426/08 טבקה משפט וצדק לעולי אתיופיה נ. שרת החינוך פרופ' יולי תמיר , סד (1)820 ( 2010 )). ראו גם בג"צ 5373/08 אסמעיל איברהים אבו לבדה נ. שרת החינוך ( נבו 6.2.2011) שם נקבע כי הזכות לחינוך, כשלעצמה, נמנית על " " הגרעין הקשה " של כבוד האדם שבלעדיו ערך הכבוד האישי נפגם פגיעה מהותית וקשה " וכי הזכות לחינוך משתלבת בזכות לשוויון לכדי זכות לשוויון בחינוך).</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נראה כי על מנת לבסס את טענתו לקיומה של זכות חוקתית להורים להשפיע על חינוך ילדיהם ניסה ב"כ הנאשמים להשתמש בשברי ציטוטים מפסיקות והלכות שונות, אשר אינם מתארים (לרוב) את הלך הפסיקה.</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נדמה, כי </w:t>
      </w:r>
      <w:r w:rsidRPr="00A35E65">
        <w:rPr>
          <w:rFonts w:ascii="David" w:eastAsia="Times New Roman" w:hAnsi="David" w:cs="David"/>
          <w:bCs/>
          <w:sz w:val="24"/>
          <w:szCs w:val="24"/>
          <w:rtl/>
        </w:rPr>
        <w:t>ב"כ הנאשמים טעה בין זכותם של הורים להשפיע על תכני חינוך ילדיהם מעצם האוטונומיה שלהם, אשר לא נקבעה כזכות חוקתית, לבין הזכות להשפיע על תכני חינוך הנובעת מהזכות החוקתית לתרבות</w:t>
      </w:r>
      <w:r w:rsidRPr="00A35E65">
        <w:rPr>
          <w:rFonts w:ascii="David" w:eastAsia="Times New Roman" w:hAnsi="David" w:cs="David"/>
          <w:b/>
          <w:sz w:val="24"/>
          <w:szCs w:val="24"/>
          <w:rtl/>
        </w:rPr>
        <w:t>: "</w:t>
      </w:r>
      <w:r w:rsidRPr="00A35E65">
        <w:rPr>
          <w:rFonts w:ascii="David" w:eastAsia="Times New Roman" w:hAnsi="David" w:cs="David"/>
          <w:bCs/>
          <w:sz w:val="24"/>
          <w:szCs w:val="24"/>
          <w:rtl/>
        </w:rPr>
        <w:t>לקבוצות תרבותיות ישנה זכות קבוצתית להשפיע על תכני החינוך של ילדיהם</w:t>
      </w:r>
      <w:r w:rsidRPr="00A35E65">
        <w:rPr>
          <w:rFonts w:ascii="David" w:eastAsia="Times New Roman" w:hAnsi="David" w:cs="David"/>
          <w:b/>
          <w:sz w:val="24"/>
          <w:szCs w:val="24"/>
          <w:rtl/>
        </w:rPr>
        <w:t>.</w:t>
      </w:r>
      <w:r w:rsidRPr="00A35E65">
        <w:rPr>
          <w:rFonts w:ascii="David" w:eastAsia="Times New Roman" w:hAnsi="David" w:cs="David"/>
          <w:bCs/>
          <w:sz w:val="24"/>
          <w:szCs w:val="24"/>
          <w:rtl/>
        </w:rPr>
        <w:t xml:space="preserve"> הזכות כוללת </w:t>
      </w:r>
      <w:r w:rsidRPr="00A35E65">
        <w:rPr>
          <w:rFonts w:ascii="David" w:eastAsia="Times New Roman" w:hAnsi="David" w:cs="David"/>
          <w:b/>
          <w:sz w:val="24"/>
          <w:szCs w:val="24"/>
          <w:rtl/>
        </w:rPr>
        <w:t xml:space="preserve">חירות המוענקת לקבוצות מיעוט מוכרות לקיים זרם חינוך או בתי ספר פרטיים מיוחדים המשמרים את תרבותן וייחודן" (פסקה 64 לפסק דינה של כב' השופטת ארבל בפרשת רובינשטיין, ודוק: </w:t>
      </w:r>
      <w:r w:rsidRPr="00A35E65">
        <w:rPr>
          <w:rFonts w:ascii="David" w:eastAsia="Times New Roman" w:hAnsi="David" w:cs="David"/>
          <w:b/>
          <w:sz w:val="24"/>
          <w:szCs w:val="24"/>
          <w:u w:val="single"/>
          <w:rtl/>
        </w:rPr>
        <w:t>כב' השופטת ארבל אמנם עמדה בדעת מיעוט לעניין תוצאת העתירה, אך היא זו שפירטה את המסגרת הנורמטיבית ואת ההכשרה לקביעה, כי הזכות לחינוך היא זכות חוקתית הנגזרת מהזכות החוקתית לכבוד</w:t>
      </w:r>
      <w:r w:rsidRPr="00A35E65">
        <w:rPr>
          <w:rFonts w:ascii="David" w:eastAsia="Times New Roman" w:hAnsi="David" w:cs="David"/>
          <w:b/>
          <w:sz w:val="24"/>
          <w:szCs w:val="24"/>
          <w:rtl/>
        </w:rPr>
        <w:t>, ולעמדה זו הצטרפו המכובדים השופטת (כתוארה דאז) חיות, השופט ג'ובראן, המשנה לנשיאה (כתוארה דאז) נאור, השופט רובינשטיין והשופט פוגלמן).</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גם כב' השופט הנדל התייחס לעניין </w:t>
      </w:r>
      <w:r w:rsidRPr="00A35E65">
        <w:rPr>
          <w:rFonts w:ascii="David" w:eastAsia="Times New Roman" w:hAnsi="David" w:cs="David"/>
          <w:bCs/>
          <w:sz w:val="24"/>
          <w:szCs w:val="24"/>
          <w:rtl/>
        </w:rPr>
        <w:t>הזכות הקבוצתית-תרבותית</w:t>
      </w:r>
      <w:r w:rsidRPr="00A35E65">
        <w:rPr>
          <w:rFonts w:ascii="David" w:eastAsia="Times New Roman" w:hAnsi="David" w:cs="David"/>
          <w:b/>
          <w:sz w:val="24"/>
          <w:szCs w:val="24"/>
          <w:rtl/>
        </w:rPr>
        <w:t xml:space="preserve"> בפסקה 12 בפסק דינו בפרשת ח'לול: "עם השנים, הוכר מעמדם החוקתי של </w:t>
      </w:r>
      <w:r w:rsidRPr="00A35E65">
        <w:rPr>
          <w:rFonts w:ascii="David" w:eastAsia="Times New Roman" w:hAnsi="David" w:cs="David"/>
          <w:bCs/>
          <w:sz w:val="24"/>
          <w:szCs w:val="24"/>
          <w:rtl/>
        </w:rPr>
        <w:t>חלק מרכיבי הזכות לחינוך</w:t>
      </w:r>
      <w:r w:rsidRPr="00A35E65">
        <w:rPr>
          <w:rFonts w:ascii="David" w:eastAsia="Times New Roman" w:hAnsi="David" w:cs="David"/>
          <w:b/>
          <w:sz w:val="24"/>
          <w:szCs w:val="24"/>
          <w:rtl/>
        </w:rPr>
        <w:t xml:space="preserve">. בעקבות הסנונית הראשונה, הזכות לשוויון בחינוך [...] נקבע כי </w:t>
      </w:r>
      <w:r w:rsidRPr="00A35E65">
        <w:rPr>
          <w:rFonts w:ascii="David" w:eastAsia="Times New Roman" w:hAnsi="David" w:cs="David"/>
          <w:bCs/>
          <w:sz w:val="24"/>
          <w:szCs w:val="24"/>
          <w:rtl/>
        </w:rPr>
        <w:t>זכות ההורים לחנך את ילדיהם בהתאם להשקפת עולמם, והזכות הקרובה לחינוך מגזרי</w:t>
      </w:r>
      <w:r w:rsidRPr="00A35E65">
        <w:rPr>
          <w:rFonts w:ascii="David" w:eastAsia="Times New Roman" w:hAnsi="David" w:cs="David"/>
          <w:b/>
          <w:sz w:val="24"/>
          <w:szCs w:val="24"/>
          <w:rtl/>
        </w:rPr>
        <w:t xml:space="preserve"> – קרי, </w:t>
      </w:r>
      <w:r w:rsidRPr="00A35E65">
        <w:rPr>
          <w:rFonts w:ascii="David" w:eastAsia="Times New Roman" w:hAnsi="David" w:cs="David"/>
          <w:bCs/>
          <w:sz w:val="24"/>
          <w:szCs w:val="24"/>
          <w:rtl/>
        </w:rPr>
        <w:t>זכותם</w:t>
      </w:r>
      <w:r w:rsidRPr="00A35E65">
        <w:rPr>
          <w:rFonts w:ascii="David" w:eastAsia="Times New Roman" w:hAnsi="David" w:cs="David"/>
          <w:b/>
          <w:sz w:val="24"/>
          <w:szCs w:val="24"/>
        </w:rPr>
        <w:t xml:space="preserve">" </w:t>
      </w:r>
      <w:r w:rsidRPr="00A35E65">
        <w:rPr>
          <w:rFonts w:ascii="David" w:eastAsia="Times New Roman" w:hAnsi="David" w:cs="David"/>
          <w:b/>
          <w:sz w:val="24"/>
          <w:szCs w:val="24"/>
          <w:rtl/>
        </w:rPr>
        <w:t xml:space="preserve">של </w:t>
      </w:r>
      <w:r w:rsidRPr="00A35E65">
        <w:rPr>
          <w:rFonts w:ascii="David" w:eastAsia="Times New Roman" w:hAnsi="David" w:cs="David"/>
          <w:bCs/>
          <w:sz w:val="24"/>
          <w:szCs w:val="24"/>
          <w:rtl/>
        </w:rPr>
        <w:t xml:space="preserve">מגזרים שונים לחנך את ילדיהם ברוח </w:t>
      </w:r>
      <w:r w:rsidRPr="00A35E65">
        <w:rPr>
          <w:rFonts w:ascii="David" w:eastAsia="Times New Roman" w:hAnsi="David" w:cs="David"/>
          <w:bCs/>
          <w:sz w:val="24"/>
          <w:szCs w:val="24"/>
          <w:rtl/>
        </w:rPr>
        <w:lastRenderedPageBreak/>
        <w:t>צִביונם התרבותי הייחודי</w:t>
      </w:r>
      <w:r w:rsidRPr="00A35E65">
        <w:rPr>
          <w:rFonts w:ascii="David" w:eastAsia="Times New Roman" w:hAnsi="David" w:cs="David"/>
          <w:b/>
          <w:sz w:val="24"/>
          <w:szCs w:val="24"/>
          <w:rtl/>
        </w:rPr>
        <w:t xml:space="preserve">, אמונתם הדתית ושיוכם הקהילתי" – עשויות לשאת אופי חוקתי" (הדגשות לא במקור; ראו גם את ההפניות בפסק הדין).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בהפנייתו לפרשת ח'לול וניסיונו להיאחז בה, הפנה ב"כ הנאשמים את תשומת לב ביהמ"ש לכך שמדובר ברובד השלילי של הזכות לחינוך – "הכרה באוטונומיה של הילד והוריו לבחור בחינוך התואם את ערכיהם והשקפת עולמם" (פסקה 11 לפסק דינו של כב' השופט הנדל).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ברם, כבר בפסקה 13 לפסק דינו של כב' השופט הנדל, נקבע " </w:t>
      </w:r>
      <w:r w:rsidRPr="00A35E65">
        <w:rPr>
          <w:rFonts w:ascii="David" w:eastAsia="Calibri" w:hAnsi="David" w:cs="David"/>
          <w:b/>
          <w:bCs/>
          <w:i/>
          <w:iCs/>
          <w:sz w:val="24"/>
          <w:szCs w:val="24"/>
          <w:rtl/>
        </w:rPr>
        <w:t>הסדר זה, המשלב כאמור בין זכותו-חובתו של התלמיד לחינוך ובין חובת המדינה</w:t>
      </w:r>
      <w:r w:rsidRPr="00A35E65">
        <w:rPr>
          <w:rFonts w:ascii="David" w:eastAsia="Calibri" w:hAnsi="David" w:cs="David"/>
          <w:i/>
          <w:iCs/>
          <w:sz w:val="24"/>
          <w:szCs w:val="24"/>
          <w:rtl/>
        </w:rPr>
        <w:t xml:space="preserve"> להעמיד לרשותו חינוך רשמי חינם</w:t>
      </w:r>
      <w:r w:rsidRPr="00A35E65">
        <w:rPr>
          <w:rFonts w:ascii="David" w:eastAsia="Calibri" w:hAnsi="David" w:cs="David"/>
          <w:sz w:val="24"/>
          <w:szCs w:val="24"/>
          <w:rtl/>
        </w:rPr>
        <w:t xml:space="preserve">, </w:t>
      </w:r>
      <w:r w:rsidRPr="00A35E65">
        <w:rPr>
          <w:rFonts w:ascii="David" w:eastAsia="Calibri" w:hAnsi="David" w:cs="David"/>
          <w:b/>
          <w:bCs/>
          <w:sz w:val="24"/>
          <w:szCs w:val="24"/>
          <w:rtl/>
        </w:rPr>
        <w:t>נשען על רגל נוספת, בדמות הורי התלמידים</w:t>
      </w:r>
      <w:r w:rsidRPr="00A35E65">
        <w:rPr>
          <w:rFonts w:ascii="David" w:eastAsia="Calibri" w:hAnsi="David" w:cs="David"/>
          <w:sz w:val="24"/>
          <w:szCs w:val="24"/>
          <w:rtl/>
        </w:rPr>
        <w:t xml:space="preserve">. </w:t>
      </w:r>
      <w:r w:rsidRPr="00A35E65">
        <w:rPr>
          <w:rFonts w:ascii="David" w:eastAsia="Calibri" w:hAnsi="David" w:cs="David"/>
          <w:b/>
          <w:bCs/>
          <w:sz w:val="24"/>
          <w:szCs w:val="24"/>
          <w:rtl/>
        </w:rPr>
        <w:t>אלה נדרשים לרשום את ילדיהם ברשויות החינוך המקומיות או במוסדות החינוך הרלוונטיים (סעיף 3 לחוק) ו"לדאוג לכך" שילמדו "באופן סדיר במוסד חינוך מוכר"</w:t>
      </w:r>
      <w:r w:rsidRPr="00A35E65">
        <w:rPr>
          <w:rFonts w:ascii="David" w:eastAsia="Calibri" w:hAnsi="David" w:cs="David"/>
          <w:sz w:val="24"/>
          <w:szCs w:val="24"/>
          <w:rtl/>
        </w:rPr>
        <w:t>." (הדגשות לא במקור).</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ב"כ הנאשמים, היפנה לפרשת רובינשטיין, עתירה בשאלת לחוקתיות חוק מוסדות חינוך תרבותיים, התשס"ח –2008 (חוק שהעניק פטור למוסדות חינוך חרדיים מ"לימודי הליבה"), לפסקה 4 בפסק דינה של כב' המשנה לנשיא (כתוארה דאז) נאור אשר הכירה בזכות ההורים להשפיע על תכני חינוך כזכות חוקתי, ואולם, </w:t>
      </w:r>
      <w:r w:rsidRPr="00A35E65">
        <w:rPr>
          <w:rFonts w:ascii="David" w:eastAsia="Times New Roman" w:hAnsi="David" w:cs="David"/>
          <w:b/>
          <w:bCs/>
          <w:sz w:val="24"/>
          <w:szCs w:val="24"/>
          <w:rtl/>
        </w:rPr>
        <w:t>באותו פסק דין ממש שנדון בפני 9 שופטים, נמצאות הערות המצויות בסתירה לטענה שמדובר בזכות חוקתית, כי נשמעו</w:t>
      </w:r>
      <w:r w:rsidRPr="00A35E65">
        <w:rPr>
          <w:rFonts w:ascii="David" w:eastAsia="Times New Roman" w:hAnsi="David" w:cs="David"/>
          <w:sz w:val="24"/>
          <w:szCs w:val="24"/>
          <w:rtl/>
        </w:rPr>
        <w:t xml:space="preserve"> </w:t>
      </w:r>
      <w:r w:rsidRPr="00A35E65">
        <w:rPr>
          <w:rFonts w:ascii="David" w:eastAsia="Times New Roman" w:hAnsi="David" w:cs="David"/>
          <w:b/>
          <w:bCs/>
          <w:sz w:val="24"/>
          <w:szCs w:val="24"/>
          <w:u w:val="single"/>
          <w:rtl/>
        </w:rPr>
        <w:t>דעות</w:t>
      </w:r>
      <w:r w:rsidRPr="00A35E65">
        <w:rPr>
          <w:rFonts w:ascii="David" w:eastAsia="Times New Roman" w:hAnsi="David" w:cs="David"/>
          <w:sz w:val="24"/>
          <w:szCs w:val="24"/>
          <w:rtl/>
        </w:rPr>
        <w:t xml:space="preserve"> בפסיקה לעניין קיומה של זכות חוקתית של ההורים להשפיע על תכני החינוך של ילדיהם (ראו פסקה 39 לפסק דינה של כב' השופטת ארבל ופסקה 43 לפסק דינו של הנשיא גרוניס בפרשת רובינשטיין).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יתר על כן, המשנה לנשיא מ. נאור סברה כי גם הזכות לחינוך היא זכות חוקתית וכי הדיון שם אינו בעצם ההכרה בזכות החוקתית אלא בהתנגשות הטבועה בינה לבין זכותם של ההורים להשפיע על תכני החינוך של ילדיהם. לדעתה הפתרון – האיזון מצוי ברמה התת חוקתית ובסופו של דבר  לאחר בחינה האם החוק עומד במבחני פסקת ההגבלה הגיעה למסקנה  כי החוק מצוי במתחם המידתיות ובית המשפט לא צריך להתערב.</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יודגש כי </w:t>
      </w:r>
      <w:r w:rsidRPr="00A35E65">
        <w:rPr>
          <w:rFonts w:ascii="David" w:eastAsia="Times New Roman" w:hAnsi="David" w:cs="David"/>
          <w:b/>
          <w:bCs/>
          <w:sz w:val="24"/>
          <w:szCs w:val="24"/>
          <w:rtl/>
        </w:rPr>
        <w:t>בפרשת רובינשטיין</w:t>
      </w:r>
      <w:r w:rsidRPr="00A35E65">
        <w:rPr>
          <w:rFonts w:ascii="David" w:eastAsia="Times New Roman" w:hAnsi="David" w:cs="David"/>
          <w:sz w:val="24"/>
          <w:szCs w:val="24"/>
          <w:rtl/>
        </w:rPr>
        <w:t xml:space="preserve"> נפסק כי </w:t>
      </w:r>
      <w:r w:rsidRPr="00A35E65">
        <w:rPr>
          <w:rFonts w:ascii="David" w:eastAsia="Times New Roman" w:hAnsi="David" w:cs="David"/>
          <w:b/>
          <w:bCs/>
          <w:sz w:val="24"/>
          <w:szCs w:val="24"/>
          <w:rtl/>
        </w:rPr>
        <w:t>עיקרו של סעיף 4 לחוק לימוד חובה הוא בהטלת חובה על הורים של ילד או נער בגיל לימוד חובה לדאוג לכך שהילד או הנער ילמד באופן סדיר במוסד חינוך מוכר</w:t>
      </w:r>
      <w:r w:rsidRPr="00A35E65">
        <w:rPr>
          <w:rFonts w:ascii="David" w:eastAsia="Times New Roman" w:hAnsi="David" w:cs="David"/>
          <w:sz w:val="24"/>
          <w:szCs w:val="24"/>
          <w:rtl/>
        </w:rPr>
        <w:t xml:space="preserve"> (פיסקה 4 לפסק דינה של כב' השו'  בדימוס ע. ארבל ).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עוד יודגש כי </w:t>
      </w:r>
      <w:r w:rsidRPr="00A35E65">
        <w:rPr>
          <w:rFonts w:ascii="David" w:eastAsia="Times New Roman" w:hAnsi="David" w:cs="David"/>
          <w:bCs/>
          <w:sz w:val="24"/>
          <w:szCs w:val="24"/>
          <w:rtl/>
        </w:rPr>
        <w:t>בפרשת רובינשטיין ובפרשת ח'לול נדונו שאלות הנוגעות למהות תכני הלימוד המועברים לילדים</w:t>
      </w:r>
      <w:r w:rsidRPr="00A35E65">
        <w:rPr>
          <w:rFonts w:ascii="David" w:eastAsia="Calibri" w:hAnsi="David" w:cs="David"/>
          <w:bCs/>
          <w:sz w:val="24"/>
          <w:szCs w:val="24"/>
          <w:rtl/>
        </w:rPr>
        <w:t xml:space="preserve"> </w:t>
      </w:r>
      <w:r w:rsidRPr="00A35E65">
        <w:rPr>
          <w:rFonts w:ascii="David" w:eastAsia="Times New Roman" w:hAnsi="David" w:cs="David"/>
          <w:bCs/>
          <w:sz w:val="24"/>
          <w:szCs w:val="24"/>
          <w:rtl/>
        </w:rPr>
        <w:t>בראי שאלות תרבותיות וקבוצתיות</w:t>
      </w:r>
      <w:r w:rsidRPr="00A35E65">
        <w:rPr>
          <w:rFonts w:ascii="David" w:eastAsia="Calibri" w:hAnsi="David" w:cs="David"/>
          <w:bCs/>
          <w:sz w:val="24"/>
          <w:szCs w:val="24"/>
          <w:u w:val="single"/>
          <w:rtl/>
        </w:rPr>
        <w:t xml:space="preserve"> ו</w:t>
      </w:r>
      <w:r w:rsidRPr="00A35E65">
        <w:rPr>
          <w:rFonts w:ascii="David" w:eastAsia="Times New Roman" w:hAnsi="David" w:cs="David"/>
          <w:bCs/>
          <w:sz w:val="24"/>
          <w:szCs w:val="24"/>
          <w:u w:val="single"/>
          <w:rtl/>
        </w:rPr>
        <w:t>לא על עצם קיומם של הלימודים</w:t>
      </w:r>
      <w:r w:rsidRPr="00A35E65">
        <w:rPr>
          <w:rFonts w:ascii="David" w:eastAsia="Times New Roman" w:hAnsi="David" w:cs="David"/>
          <w:b/>
          <w:sz w:val="24"/>
          <w:szCs w:val="24"/>
          <w:rtl/>
        </w:rPr>
        <w:t xml:space="preserve">. בפרשת רובינשטיין נדונה סוגיית הקניית פטור מלימודי ליבה למוסדות חינוך חרדיים; ובפרשת ח'לול נדונה זכותם של בני הלאום הארמי לבחור האם ללמוד במוסדות חינוך יהודיים או ערביים, ובהתאם לבחירה זו – חובת הרשות המקומית לממן הסעה למוסדות כאשר הבחירה לא מצויה בתחומי הרשות המקומית.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Cs/>
          <w:sz w:val="24"/>
          <w:szCs w:val="24"/>
          <w:rtl/>
        </w:rPr>
        <w:t>המקרה הנדון בעניינינו הוא קיצוני יותר,</w:t>
      </w:r>
      <w:r w:rsidRPr="00A35E65">
        <w:rPr>
          <w:rFonts w:ascii="David" w:eastAsia="Times New Roman" w:hAnsi="David" w:cs="David"/>
          <w:b/>
          <w:sz w:val="24"/>
          <w:szCs w:val="24"/>
          <w:rtl/>
        </w:rPr>
        <w:t xml:space="preserve"> ובהתאם לכך נדרשות זהירות ואחריות רבות בהסקת מסקנות מפסקי הדין המתוארים לעניינינו הקונקרטי.</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lastRenderedPageBreak/>
        <w:t xml:space="preserve">אדרבא, בפסקה 37 לפסק דינה של כב' השופטת ארבל בפרשת רובינשטיין, בעודה מסבירה את הכרעתה כי הזכות לחינוך של הילד היא זכות חוקתית, קבעה: "טלו </w:t>
      </w:r>
      <w:r w:rsidRPr="00A35E65">
        <w:rPr>
          <w:rFonts w:ascii="David" w:eastAsia="Times New Roman" w:hAnsi="David" w:cs="David"/>
          <w:b/>
          <w:sz w:val="24"/>
          <w:szCs w:val="24"/>
          <w:u w:val="single"/>
          <w:rtl/>
        </w:rPr>
        <w:t>מקרה קיצון</w:t>
      </w:r>
      <w:r w:rsidRPr="00A35E65">
        <w:rPr>
          <w:rFonts w:ascii="David" w:eastAsia="Times New Roman" w:hAnsi="David" w:cs="David"/>
          <w:b/>
          <w:sz w:val="24"/>
          <w:szCs w:val="24"/>
          <w:rtl/>
        </w:rPr>
        <w:t xml:space="preserve"> בו מחליטה הכנסת לבטל את חוק חינוך חובה המחייב את הוריו של ילד בגיל חינוך חובה להביאו ללימודים במוסד חינוך מוכר באופן סדיר. דהיינו, המדינה מפסיקה לפקח על חובתם של ההורים לשלוח את ילדיהם ללימודים. האם לא נאמר כי </w:t>
      </w:r>
      <w:r w:rsidRPr="00A35E65">
        <w:rPr>
          <w:rFonts w:ascii="David" w:eastAsia="Times New Roman" w:hAnsi="David" w:cs="David"/>
          <w:b/>
          <w:bCs/>
          <w:sz w:val="24"/>
          <w:szCs w:val="24"/>
          <w:u w:val="single"/>
          <w:rtl/>
        </w:rPr>
        <w:t>נפגע כבוד האדם של אותם ילדים</w:t>
      </w:r>
      <w:r w:rsidRPr="00A35E65">
        <w:rPr>
          <w:rFonts w:ascii="David" w:eastAsia="Times New Roman" w:hAnsi="David" w:cs="David"/>
          <w:b/>
          <w:bCs/>
          <w:sz w:val="24"/>
          <w:szCs w:val="24"/>
          <w:rtl/>
        </w:rPr>
        <w:t xml:space="preserve"> אשר אינם זוכים להגנת המדינה על </w:t>
      </w:r>
      <w:r w:rsidRPr="00A35E65">
        <w:rPr>
          <w:rFonts w:ascii="David" w:eastAsia="Times New Roman" w:hAnsi="David" w:cs="David"/>
          <w:b/>
          <w:bCs/>
          <w:sz w:val="24"/>
          <w:szCs w:val="24"/>
          <w:u w:val="single"/>
          <w:rtl/>
        </w:rPr>
        <w:t>זכותם</w:t>
      </w:r>
      <w:r w:rsidRPr="00A35E65">
        <w:rPr>
          <w:rFonts w:ascii="David" w:eastAsia="Times New Roman" w:hAnsi="David" w:cs="David"/>
          <w:b/>
          <w:bCs/>
          <w:sz w:val="24"/>
          <w:szCs w:val="24"/>
          <w:rtl/>
        </w:rPr>
        <w:t xml:space="preserve"> לקבל חינוך</w:t>
      </w:r>
      <w:r w:rsidRPr="00A35E65">
        <w:rPr>
          <w:rFonts w:ascii="David" w:eastAsia="Times New Roman" w:hAnsi="David" w:cs="David"/>
          <w:b/>
          <w:sz w:val="24"/>
          <w:szCs w:val="24"/>
          <w:rtl/>
        </w:rPr>
        <w:t xml:space="preserve">, ולו מינימאלי בגיל חינוך חובה? נראה כי </w:t>
      </w:r>
      <w:r w:rsidRPr="00A35E65">
        <w:rPr>
          <w:rFonts w:ascii="David" w:eastAsia="Times New Roman" w:hAnsi="David" w:cs="David"/>
          <w:b/>
          <w:bCs/>
          <w:sz w:val="24"/>
          <w:szCs w:val="24"/>
          <w:rtl/>
        </w:rPr>
        <w:t>ערכי היסוד של החברה בה אנו חיים כיום תיתן לשאלה זו מענה חיובי וברור</w:t>
      </w:r>
      <w:r w:rsidRPr="00A35E65">
        <w:rPr>
          <w:rFonts w:ascii="David" w:eastAsia="Times New Roman" w:hAnsi="David" w:cs="David"/>
          <w:b/>
          <w:sz w:val="24"/>
          <w:szCs w:val="24"/>
          <w:rtl/>
        </w:rPr>
        <w:t>." (הדגשות לא במקור).</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ביהמ"ש מוצא להעיר כי בפרשת פלוני, אשר גם אליה הפנה ב"כ הנאשמים, עסקינן בערעור אזרחי אשר נדון במסגרת סכסוך גירושין על חינוך דתי, שניתן לילדי המתגרשים </w:t>
      </w:r>
      <w:r w:rsidRPr="00A35E65">
        <w:rPr>
          <w:rFonts w:ascii="David" w:eastAsia="Times New Roman" w:hAnsi="David" w:cs="David"/>
          <w:b/>
          <w:sz w:val="24"/>
          <w:szCs w:val="24"/>
          <w:u w:val="single"/>
          <w:rtl/>
        </w:rPr>
        <w:t>בתוך ביתם</w:t>
      </w:r>
      <w:r w:rsidRPr="00A35E65">
        <w:rPr>
          <w:rFonts w:ascii="David" w:eastAsia="Times New Roman" w:hAnsi="David" w:cs="David"/>
          <w:b/>
          <w:sz w:val="24"/>
          <w:szCs w:val="24"/>
          <w:rtl/>
        </w:rPr>
        <w:t xml:space="preserve">, כלומר הדיון היה על זכויות ההורים בקשר עם </w:t>
      </w:r>
      <w:r w:rsidRPr="00A35E65">
        <w:rPr>
          <w:rFonts w:ascii="David" w:eastAsia="Times New Roman" w:hAnsi="David" w:cs="David"/>
          <w:b/>
          <w:sz w:val="24"/>
          <w:szCs w:val="24"/>
          <w:u w:val="single"/>
          <w:rtl/>
        </w:rPr>
        <w:t>חופש דת בביתם</w:t>
      </w:r>
      <w:r w:rsidRPr="00A35E65">
        <w:rPr>
          <w:rFonts w:ascii="David" w:eastAsia="Times New Roman" w:hAnsi="David" w:cs="David"/>
          <w:b/>
          <w:sz w:val="24"/>
          <w:szCs w:val="24"/>
          <w:rtl/>
        </w:rPr>
        <w:t xml:space="preserve">, חשיפת ילדים לדת ההורים, או כפי שהנשיא שמגר כינה זאת – "משמורת רוחנית" וענין זה אינו דומה לעניינם של הנאשמים.  </w:t>
      </w:r>
    </w:p>
    <w:p w:rsidR="00A35E65" w:rsidRPr="00A35E65" w:rsidRDefault="00A35E65" w:rsidP="00A35E65">
      <w:pPr>
        <w:spacing w:before="240" w:after="0" w:line="360" w:lineRule="auto"/>
        <w:jc w:val="both"/>
        <w:rPr>
          <w:rFonts w:ascii="David" w:eastAsia="Times New Roman" w:hAnsi="David" w:cs="David"/>
          <w:b/>
          <w:sz w:val="24"/>
          <w:szCs w:val="24"/>
          <w:u w:val="single"/>
          <w:rtl/>
        </w:rPr>
      </w:pPr>
      <w:r w:rsidRPr="00A35E65">
        <w:rPr>
          <w:rFonts w:ascii="David" w:eastAsia="Times New Roman" w:hAnsi="David" w:cs="David"/>
          <w:b/>
          <w:sz w:val="24"/>
          <w:szCs w:val="24"/>
          <w:rtl/>
        </w:rPr>
        <w:t>יוצא אפוא שהפסיקה לא הכריעה בשאלת קיומה של זכות חוקתית של הורים להשפיע על חינוך ילדיהם ו</w:t>
      </w:r>
      <w:r w:rsidRPr="00A35E65">
        <w:rPr>
          <w:rFonts w:ascii="David" w:eastAsia="Times New Roman" w:hAnsi="David" w:cs="David"/>
          <w:b/>
          <w:sz w:val="24"/>
          <w:szCs w:val="24"/>
          <w:u w:val="single"/>
          <w:rtl/>
        </w:rPr>
        <w:t xml:space="preserve">מקומה הראוי והנכון להתברר בכנסת ישראל או בביהמ"ש העליון בשבתו כבג"ץ.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בנסיבות הענין אין מקום ליישם את פרשת אונגרפלד בעניינינו. </w:t>
      </w:r>
    </w:p>
    <w:p w:rsidR="00A35E65" w:rsidRPr="00A35E65" w:rsidRDefault="00A35E65" w:rsidP="00A35E65">
      <w:pPr>
        <w:spacing w:before="240" w:after="0" w:line="360" w:lineRule="auto"/>
        <w:jc w:val="both"/>
        <w:rPr>
          <w:rFonts w:ascii="David" w:eastAsia="Times New Roman" w:hAnsi="David" w:cs="David"/>
          <w:b/>
          <w:sz w:val="24"/>
          <w:szCs w:val="24"/>
          <w:u w:val="single"/>
          <w:rtl/>
        </w:rPr>
      </w:pPr>
      <w:r w:rsidRPr="00A35E65">
        <w:rPr>
          <w:rFonts w:ascii="David" w:eastAsia="Times New Roman" w:hAnsi="David" w:cs="David"/>
          <w:b/>
          <w:sz w:val="24"/>
          <w:szCs w:val="24"/>
          <w:rtl/>
        </w:rPr>
        <w:t>למעלה מן הצורך יציין כי אף אם היה מדובר בזכות חוקתית, יש להביע הסתייגות מקפיצה למסקנות מפסק דין הדן בהתנגשות עבירה פלילית עם חופש הביטוי, זכות המצויה "במדרג עליון של זכויות האדם החוקתיות" (פסקה 28 לפסק דינה של כב' השופטת פרוקצ'יה בפרשת אונגרפלד) לבין הזכות לחינוך, אשר בעניינה יש פסיקה ענפה הפורשת יריעה נורמטיבית רחבה המספיקה לשם הכרעה בעניינינו.</w:t>
      </w:r>
      <w:r w:rsidRPr="00A35E65">
        <w:rPr>
          <w:rFonts w:ascii="David" w:eastAsia="Times New Roman" w:hAnsi="David" w:cs="David"/>
          <w:b/>
          <w:sz w:val="24"/>
          <w:szCs w:val="24"/>
          <w:u w:val="single"/>
          <w:rtl/>
        </w:rPr>
        <w:t xml:space="preserve">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לטענות ב"כ הנאשמים </w:t>
      </w:r>
      <w:r w:rsidRPr="00A35E65">
        <w:rPr>
          <w:rFonts w:ascii="David" w:eastAsia="Times New Roman" w:hAnsi="David" w:cs="David"/>
          <w:b/>
          <w:sz w:val="24"/>
          <w:szCs w:val="24"/>
          <w:u w:val="single"/>
          <w:rtl/>
        </w:rPr>
        <w:t>לפגיעה בזכויות לאוטונומיה, לדת ולמצפון</w:t>
      </w:r>
      <w:r w:rsidRPr="00A35E65">
        <w:rPr>
          <w:rFonts w:ascii="David" w:eastAsia="Times New Roman" w:hAnsi="David" w:cs="David"/>
          <w:b/>
          <w:sz w:val="24"/>
          <w:szCs w:val="24"/>
          <w:rtl/>
        </w:rPr>
        <w:t xml:space="preserve">, אשר הועלו בלשון רפה ודלה במהלך הדיון ובסיכומי ההגנה: </w:t>
      </w:r>
      <w:r w:rsidRPr="00A35E65">
        <w:rPr>
          <w:rFonts w:ascii="David" w:eastAsia="Times New Roman" w:hAnsi="David" w:cs="David"/>
          <w:bCs/>
          <w:sz w:val="24"/>
          <w:szCs w:val="24"/>
          <w:rtl/>
        </w:rPr>
        <w:t xml:space="preserve">זכויות אדם חוקתיות אינן מטה קסמים, בו יכול האדם לנופף על מנת לחלץ עצמו מצרות, או על מנת להתנהג </w:t>
      </w:r>
      <w:r w:rsidRPr="00A35E65">
        <w:rPr>
          <w:rFonts w:ascii="David" w:eastAsia="Times New Roman" w:hAnsi="David" w:cs="David"/>
          <w:bCs/>
          <w:sz w:val="24"/>
          <w:szCs w:val="24"/>
          <w:u w:val="single"/>
          <w:rtl/>
        </w:rPr>
        <w:t>כראות עיניו</w:t>
      </w:r>
      <w:r w:rsidRPr="00A35E65">
        <w:rPr>
          <w:rFonts w:ascii="David" w:eastAsia="Times New Roman" w:hAnsi="David" w:cs="David"/>
          <w:b/>
          <w:sz w:val="24"/>
          <w:szCs w:val="24"/>
          <w:rtl/>
        </w:rPr>
        <w:t>. בחברת חוק מוסדרת לא יכול אדם לעשות הישר בעיניו.</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כך למשל אדם שינהג ללא רישיון -לא תעמוד לו הגנה במשפט פלילי מכוח טענה בדבר זכותו לחופש התנועה;</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גם אדם שיצרוך זנות או סמים לא תעמוד לו הגנה מפני משפט פלילי  אם יטען כי רשאי לעשות כן מכוח האוטונומיה שלו;</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לא סביר, שנאשם במשפט פלילי ישתמש בזכויות האדם, הניתנות לו מתוקף היותו חי בחברה מוסדרת, כהגנה על כך שהפר את חוקי אותה חברה.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אמנם להורים יש זכות טבעית לגדל ולחנך את ילדיהם, אולם במערכת היחסים בינם לבין ילדיהם אין הם יכולים לפעול כראות עיניהם ללא הגבלה ובשרירות תוך התעלמות מצרכי הילד ומטובתו   </w:t>
      </w:r>
      <w:r w:rsidRPr="00A35E65">
        <w:rPr>
          <w:rFonts w:ascii="FrankRuehl" w:eastAsia="Times New Roman" w:hAnsi="FrankRuehl" w:cs="FrankRuehl"/>
          <w:noProof/>
          <w:color w:val="000000"/>
          <w:sz w:val="24"/>
          <w:szCs w:val="24"/>
        </w:rPr>
        <w:t>.</w:t>
      </w:r>
      <w:r w:rsidRPr="00A35E65">
        <w:rPr>
          <w:rFonts w:ascii="David" w:eastAsia="Times New Roman" w:hAnsi="David" w:cs="David"/>
          <w:sz w:val="24"/>
          <w:szCs w:val="24"/>
          <w:rtl/>
        </w:rPr>
        <w:t xml:space="preserve"> </w:t>
      </w:r>
      <w:r w:rsidRPr="00A35E65">
        <w:rPr>
          <w:rFonts w:ascii="David" w:eastAsia="Times New Roman" w:hAnsi="David" w:cs="David" w:hint="cs"/>
          <w:sz w:val="24"/>
          <w:szCs w:val="24"/>
          <w:rtl/>
        </w:rPr>
        <w:t xml:space="preserve">הורים חייבים להכיר בסמכויות המדינה ואף בחובתה, להתערב באוטונומיה שלהם כהורים לצורך </w:t>
      </w:r>
      <w:r w:rsidRPr="00A35E65">
        <w:rPr>
          <w:rFonts w:ascii="David" w:eastAsia="Times New Roman" w:hAnsi="David" w:cs="David" w:hint="cs"/>
          <w:sz w:val="24"/>
          <w:szCs w:val="24"/>
          <w:rtl/>
        </w:rPr>
        <w:lastRenderedPageBreak/>
        <w:t xml:space="preserve">הגנה על זכויות הילד וטובתו וכדי להשיג תכלית חברתית כללית ביצירת מבנה משותף של ערכי חינוך בסיסיים שיש בהם כדי לאחד את בני החברה ( </w:t>
      </w:r>
      <w:hyperlink r:id="rId19" w:history="1">
        <w:r w:rsidRPr="00A35E65">
          <w:rPr>
            <w:rFonts w:ascii="David" w:eastAsia="Times New Roman" w:hAnsi="David" w:cs="David"/>
            <w:color w:val="0000FF"/>
            <w:sz w:val="24"/>
            <w:szCs w:val="24"/>
            <w:u w:val="single"/>
            <w:rtl/>
          </w:rPr>
          <w:t>ע"א 2266/93 פלוני נ. קטין</w:t>
        </w:r>
      </w:hyperlink>
      <w:r w:rsidRPr="00A35E65">
        <w:rPr>
          <w:rFonts w:ascii="David" w:eastAsia="Times New Roman" w:hAnsi="David" w:cs="David"/>
          <w:sz w:val="24"/>
          <w:szCs w:val="24"/>
          <w:rtl/>
        </w:rPr>
        <w:t>, בעמ' 238)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ההלכה היא </w:t>
      </w:r>
      <w:r w:rsidRPr="00A35E65">
        <w:rPr>
          <w:rFonts w:ascii="David" w:eastAsia="Calibri" w:hAnsi="David" w:cs="David"/>
          <w:b/>
          <w:bCs/>
          <w:sz w:val="24"/>
          <w:szCs w:val="24"/>
          <w:rtl/>
        </w:rPr>
        <w:t>שזכויות האדם המוקנות לאדם אינן מוחלטות אלא יחסיות וניתנות להגבלה</w:t>
      </w:r>
      <w:r w:rsidRPr="00A35E65">
        <w:rPr>
          <w:rFonts w:ascii="David" w:eastAsia="Calibri" w:hAnsi="David" w:cs="David"/>
          <w:sz w:val="24"/>
          <w:szCs w:val="24"/>
          <w:rtl/>
        </w:rPr>
        <w:t xml:space="preserve"> באופן מידתי (וראו למשל: </w:t>
      </w:r>
      <w:hyperlink r:id="rId20" w:anchor="1" w:history="1">
        <w:r w:rsidRPr="00A35E65">
          <w:rPr>
            <w:rFonts w:ascii="David" w:eastAsia="Calibri" w:hAnsi="David" w:cs="David"/>
            <w:color w:val="0000FF"/>
            <w:sz w:val="24"/>
            <w:szCs w:val="24"/>
            <w:u w:val="single"/>
            <w:rtl/>
          </w:rPr>
          <w:t>בג"ץ 8297/15</w:t>
        </w:r>
      </w:hyperlink>
      <w:r w:rsidRPr="00A35E65">
        <w:rPr>
          <w:rFonts w:ascii="David" w:eastAsia="Calibri" w:hAnsi="David" w:cs="David"/>
          <w:sz w:val="24"/>
          <w:szCs w:val="24"/>
          <w:rtl/>
        </w:rPr>
        <w:t xml:space="preserve"> אבנר הררי ואח' נ' שירות בתי הסוהר, </w:t>
      </w:r>
      <w:hyperlink r:id="rId21" w:history="1">
        <w:r w:rsidRPr="00A35E65">
          <w:rPr>
            <w:rFonts w:ascii="David" w:eastAsia="Calibri" w:hAnsi="David" w:cs="David"/>
            <w:color w:val="0000FF"/>
            <w:sz w:val="24"/>
            <w:szCs w:val="24"/>
            <w:u w:val="single"/>
            <w:rtl/>
          </w:rPr>
          <w:t>בג"ץ 8026/16</w:t>
        </w:r>
      </w:hyperlink>
      <w:r w:rsidRPr="00A35E65">
        <w:rPr>
          <w:rFonts w:ascii="David" w:eastAsia="Calibri" w:hAnsi="David" w:cs="David"/>
          <w:sz w:val="24"/>
          <w:szCs w:val="24"/>
          <w:rtl/>
        </w:rPr>
        <w:t xml:space="preserve"> </w:t>
      </w:r>
      <w:r w:rsidRPr="00A35E65">
        <w:rPr>
          <w:rFonts w:ascii="David" w:eastAsia="Calibri" w:hAnsi="David" w:cs="David" w:hint="cs"/>
          <w:b/>
          <w:sz w:val="24"/>
          <w:szCs w:val="24"/>
          <w:rtl/>
        </w:rPr>
        <w:t>מוריס נ' מפקד פיקוד העורף</w:t>
      </w:r>
      <w:r w:rsidRPr="00A35E65">
        <w:rPr>
          <w:rFonts w:ascii="David" w:eastAsia="Calibri" w:hAnsi="David" w:cs="David" w:hint="cs"/>
          <w:sz w:val="24"/>
          <w:szCs w:val="24"/>
          <w:rtl/>
        </w:rPr>
        <w:t xml:space="preserve">; </w:t>
      </w:r>
      <w:hyperlink r:id="rId22" w:history="1">
        <w:r w:rsidRPr="00A35E65">
          <w:rPr>
            <w:rFonts w:ascii="David" w:eastAsia="Calibri" w:hAnsi="David" w:cs="David"/>
            <w:color w:val="0000FF"/>
            <w:sz w:val="24"/>
            <w:szCs w:val="24"/>
            <w:u w:val="single"/>
            <w:rtl/>
          </w:rPr>
          <w:t>בג"ץ 5304/15</w:t>
        </w:r>
      </w:hyperlink>
      <w:r w:rsidRPr="00A35E65">
        <w:rPr>
          <w:rFonts w:ascii="David" w:eastAsia="Calibri" w:hAnsi="David" w:cs="David"/>
          <w:sz w:val="24"/>
          <w:szCs w:val="24"/>
          <w:rtl/>
        </w:rPr>
        <w:t xml:space="preserve"> </w:t>
      </w:r>
      <w:r w:rsidRPr="00A35E65">
        <w:rPr>
          <w:rFonts w:ascii="David" w:eastAsia="Calibri" w:hAnsi="David" w:cs="David" w:hint="cs"/>
          <w:b/>
          <w:sz w:val="24"/>
          <w:szCs w:val="24"/>
          <w:rtl/>
        </w:rPr>
        <w:t>ההסתדרות הרפואית בישראל נ' כנסת ישראל</w:t>
      </w:r>
      <w:r w:rsidRPr="00A35E65">
        <w:rPr>
          <w:rFonts w:ascii="David" w:eastAsia="Calibri" w:hAnsi="David" w:cs="David" w:hint="cs"/>
          <w:sz w:val="24"/>
          <w:szCs w:val="24"/>
          <w:rtl/>
        </w:rPr>
        <w:t xml:space="preserve">).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בהתאם לכך זכויות ההורים להשפיע על חינוך ילדיהם, בין אם יחסו תחת "הזכות" לחינוך לפי השקפת עולם, הזכות לאוטונומיה או הזכות לחופש דת ומצפון, גם הן יחסיות וניתנות להגבלה. </w:t>
      </w:r>
    </w:p>
    <w:p w:rsidR="00A35E65" w:rsidRPr="00A35E65" w:rsidRDefault="00A35E65" w:rsidP="00A35E65">
      <w:pPr>
        <w:spacing w:before="240" w:after="0" w:line="360" w:lineRule="auto"/>
        <w:jc w:val="both"/>
        <w:rPr>
          <w:rFonts w:ascii="David" w:eastAsia="Calibri" w:hAnsi="David" w:cs="David"/>
          <w:color w:val="000000"/>
          <w:sz w:val="24"/>
          <w:szCs w:val="24"/>
          <w:rtl/>
        </w:rPr>
      </w:pPr>
      <w:r w:rsidRPr="00A35E65">
        <w:rPr>
          <w:rFonts w:ascii="David" w:eastAsia="Calibri" w:hAnsi="David" w:cs="David"/>
          <w:sz w:val="24"/>
          <w:szCs w:val="24"/>
          <w:rtl/>
        </w:rPr>
        <w:t xml:space="preserve">על פי הפסיקה, מימוש זכות ההורים להקנות לילדיהם חינוך לפי השקפת עולמם </w:t>
      </w:r>
      <w:r w:rsidRPr="00A35E65">
        <w:rPr>
          <w:rFonts w:ascii="David" w:eastAsia="Calibri" w:hAnsi="David" w:cs="David"/>
          <w:bCs/>
          <w:color w:val="000000"/>
          <w:sz w:val="24"/>
          <w:szCs w:val="24"/>
          <w:rtl/>
        </w:rPr>
        <w:t>כפוף לדרישות המינימליות שנקבעו על-ידי המדינה ולכיבוד זכות ילדם לחינוך</w:t>
      </w:r>
      <w:r w:rsidRPr="00A35E65">
        <w:rPr>
          <w:rFonts w:ascii="David" w:eastAsia="Calibri" w:hAnsi="David" w:cs="David"/>
          <w:b/>
          <w:color w:val="000000"/>
          <w:sz w:val="24"/>
          <w:szCs w:val="24"/>
          <w:rtl/>
        </w:rPr>
        <w:t xml:space="preserve"> </w:t>
      </w:r>
      <w:r w:rsidRPr="00A35E65">
        <w:rPr>
          <w:rFonts w:ascii="David" w:eastAsia="Calibri" w:hAnsi="David" w:cs="David"/>
          <w:sz w:val="24"/>
          <w:szCs w:val="24"/>
          <w:rtl/>
        </w:rPr>
        <w:t>(</w:t>
      </w:r>
      <w:hyperlink r:id="rId23" w:history="1">
        <w:r w:rsidRPr="00A35E65">
          <w:rPr>
            <w:rFonts w:ascii="David" w:eastAsia="Calibri" w:hAnsi="David" w:cs="David"/>
            <w:color w:val="0000FF"/>
            <w:sz w:val="24"/>
            <w:szCs w:val="24"/>
            <w:u w:val="single"/>
            <w:rtl/>
          </w:rPr>
          <w:t>בג"צ 4805/07</w:t>
        </w:r>
      </w:hyperlink>
      <w:r w:rsidRPr="00A35E65">
        <w:rPr>
          <w:rFonts w:ascii="David" w:eastAsia="Calibri" w:hAnsi="David" w:cs="David"/>
          <w:sz w:val="24"/>
          <w:szCs w:val="24"/>
          <w:rtl/>
        </w:rPr>
        <w:t xml:space="preserve"> המרכז לפלורליזם יהודי – התנועה ליהדות מתקדמת בישראל נ' משרד החינוך, פסקה 56 לפסק דינה של כב' השופטת פרוקצ'יה; "</w:t>
      </w:r>
      <w:r w:rsidRPr="00A35E65">
        <w:rPr>
          <w:rFonts w:ascii="David" w:eastAsia="Calibri" w:hAnsi="David" w:cs="David"/>
          <w:b/>
          <w:bCs/>
          <w:sz w:val="24"/>
          <w:szCs w:val="24"/>
          <w:rtl/>
        </w:rPr>
        <w:t>בג"ץ המרכז לפלורליזם יהודי</w:t>
      </w:r>
      <w:r w:rsidRPr="00A35E65">
        <w:rPr>
          <w:rFonts w:ascii="David" w:eastAsia="Calibri" w:hAnsi="David" w:cs="David"/>
          <w:sz w:val="24"/>
          <w:szCs w:val="24"/>
          <w:rtl/>
        </w:rPr>
        <w:t>").</w:t>
      </w:r>
      <w:r w:rsidRPr="00A35E65">
        <w:rPr>
          <w:rFonts w:ascii="David" w:eastAsia="Calibri" w:hAnsi="David" w:cs="David"/>
          <w:b/>
          <w:color w:val="000000"/>
          <w:sz w:val="24"/>
          <w:szCs w:val="24"/>
          <w:rtl/>
        </w:rPr>
        <w:t xml:space="preserve"> </w:t>
      </w:r>
      <w:r w:rsidRPr="00A35E65">
        <w:rPr>
          <w:rFonts w:ascii="David" w:eastAsia="Calibri" w:hAnsi="David" w:cs="David"/>
          <w:sz w:val="24"/>
          <w:szCs w:val="24"/>
          <w:rtl/>
        </w:rPr>
        <w:t xml:space="preserve">בהתאם, ולמצער, </w:t>
      </w:r>
      <w:r w:rsidRPr="00A35E65">
        <w:rPr>
          <w:rFonts w:ascii="David" w:eastAsia="Calibri" w:hAnsi="David" w:cs="David"/>
          <w:sz w:val="24"/>
          <w:szCs w:val="24"/>
          <w:u w:val="single"/>
          <w:rtl/>
        </w:rPr>
        <w:t>זכויות ההורים האמורות מוגבלות במתווה הנורמטיבי המוסדר בחקיקה ראשית</w:t>
      </w:r>
      <w:r w:rsidRPr="00A35E65">
        <w:rPr>
          <w:rFonts w:ascii="David" w:eastAsia="Calibri" w:hAnsi="David" w:cs="David"/>
          <w:sz w:val="24"/>
          <w:szCs w:val="24"/>
          <w:rtl/>
        </w:rPr>
        <w:t xml:space="preserve"> ב</w:t>
      </w:r>
      <w:hyperlink r:id="rId24" w:history="1">
        <w:r w:rsidRPr="00A35E65">
          <w:rPr>
            <w:rFonts w:ascii="David" w:eastAsia="Calibri" w:hAnsi="David" w:cs="David"/>
            <w:color w:val="0000FF"/>
            <w:sz w:val="24"/>
            <w:szCs w:val="24"/>
            <w:u w:val="single"/>
            <w:rtl/>
          </w:rPr>
          <w:t>חוק לימוד חובה</w:t>
        </w:r>
      </w:hyperlink>
      <w:r w:rsidRPr="00A35E65">
        <w:rPr>
          <w:rFonts w:ascii="David" w:eastAsia="Calibri" w:hAnsi="David" w:cs="David"/>
          <w:sz w:val="24"/>
          <w:szCs w:val="24"/>
          <w:rtl/>
        </w:rPr>
        <w:t>, התש"ט-1949, ב</w:t>
      </w:r>
      <w:hyperlink r:id="rId25" w:history="1">
        <w:r w:rsidRPr="00A35E65">
          <w:rPr>
            <w:rFonts w:ascii="David" w:eastAsia="Calibri" w:hAnsi="David" w:cs="David"/>
            <w:color w:val="0000FF"/>
            <w:sz w:val="24"/>
            <w:szCs w:val="24"/>
            <w:u w:val="single"/>
            <w:rtl/>
          </w:rPr>
          <w:t>חוק זכויות התלמיד</w:t>
        </w:r>
      </w:hyperlink>
      <w:r w:rsidRPr="00A35E65">
        <w:rPr>
          <w:rFonts w:ascii="David" w:eastAsia="Calibri" w:hAnsi="David" w:cs="David"/>
          <w:sz w:val="24"/>
          <w:szCs w:val="24"/>
          <w:rtl/>
        </w:rPr>
        <w:t>, התשס"א-2004, ב</w:t>
      </w:r>
      <w:hyperlink r:id="rId26" w:history="1">
        <w:r w:rsidRPr="00A35E65">
          <w:rPr>
            <w:rFonts w:ascii="David" w:eastAsia="Calibri" w:hAnsi="David" w:cs="David"/>
            <w:color w:val="0000FF"/>
            <w:sz w:val="24"/>
            <w:szCs w:val="24"/>
            <w:u w:val="single"/>
            <w:rtl/>
          </w:rPr>
          <w:t>חוק חינוך ממלכתי</w:t>
        </w:r>
      </w:hyperlink>
      <w:r w:rsidRPr="00A35E65">
        <w:rPr>
          <w:rFonts w:ascii="David" w:eastAsia="Calibri" w:hAnsi="David" w:cs="David"/>
          <w:sz w:val="24"/>
          <w:szCs w:val="24"/>
          <w:rtl/>
        </w:rPr>
        <w:t>, התשי"ג-1953, ב</w:t>
      </w:r>
      <w:hyperlink r:id="rId27" w:history="1">
        <w:r w:rsidRPr="00A35E65">
          <w:rPr>
            <w:rFonts w:ascii="David" w:eastAsia="Calibri" w:hAnsi="David" w:cs="David"/>
            <w:color w:val="0000FF"/>
            <w:sz w:val="24"/>
            <w:szCs w:val="24"/>
            <w:u w:val="single"/>
            <w:rtl/>
          </w:rPr>
          <w:t>חוק פיקוח על בתי ספר</w:t>
        </w:r>
      </w:hyperlink>
      <w:r w:rsidRPr="00A35E65">
        <w:rPr>
          <w:rFonts w:ascii="David" w:eastAsia="Calibri" w:hAnsi="David" w:cs="David"/>
          <w:sz w:val="24"/>
          <w:szCs w:val="24"/>
          <w:rtl/>
        </w:rPr>
        <w:t>, התשכ"ט-1969, ב</w:t>
      </w:r>
      <w:hyperlink r:id="rId28" w:history="1">
        <w:r w:rsidRPr="00A35E65">
          <w:rPr>
            <w:rFonts w:ascii="David" w:eastAsia="Calibri" w:hAnsi="David" w:cs="David"/>
            <w:color w:val="0000FF"/>
            <w:sz w:val="24"/>
            <w:szCs w:val="24"/>
            <w:u w:val="single"/>
            <w:rtl/>
          </w:rPr>
          <w:t>תקנות חינוך ממלכתי (מוסדות מוכרים)</w:t>
        </w:r>
      </w:hyperlink>
      <w:r w:rsidRPr="00A35E65">
        <w:rPr>
          <w:rFonts w:ascii="David" w:eastAsia="Calibri" w:hAnsi="David" w:cs="David"/>
          <w:sz w:val="24"/>
          <w:szCs w:val="24"/>
          <w:rtl/>
        </w:rPr>
        <w:t>, התשי"ד-1953 וב</w:t>
      </w:r>
      <w:hyperlink r:id="rId29" w:history="1">
        <w:r w:rsidRPr="00A35E65">
          <w:rPr>
            <w:rFonts w:ascii="David" w:eastAsia="Calibri" w:hAnsi="David" w:cs="David"/>
            <w:color w:val="0000FF"/>
            <w:sz w:val="24"/>
            <w:szCs w:val="24"/>
            <w:u w:val="single"/>
            <w:rtl/>
          </w:rPr>
          <w:t>חוק מוסדות חינוך תרבותיים ייחודיים, תשס"ח-2008</w:t>
        </w:r>
      </w:hyperlink>
      <w:r w:rsidRPr="00A35E65">
        <w:rPr>
          <w:rFonts w:ascii="David" w:eastAsia="Calibri" w:hAnsi="David" w:cs="David"/>
          <w:sz w:val="24"/>
          <w:szCs w:val="24"/>
          <w:rtl/>
        </w:rPr>
        <w:t xml:space="preserve"> </w:t>
      </w:r>
      <w:r w:rsidRPr="00A35E65">
        <w:rPr>
          <w:rFonts w:ascii="David" w:eastAsia="Calibri" w:hAnsi="David" w:cs="David" w:hint="cs"/>
          <w:sz w:val="24"/>
          <w:szCs w:val="24"/>
          <w:rtl/>
        </w:rPr>
        <w:t>וכן בפסיקה הענפה שנקבעה בביהמ"ש העליון.</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דיי בכל האמור לעיל כדי ללמד שהמחוקק אמר את דברו בקביעת החוקים, שצוינו לעיל  במסגרת חקיקה ראשית כדי לחייב את ההורים והמדינה לאפשר לילדים עד גיל 18 לממש זכותם לחינוך חובה, זכות הנגזרת גם מחוק יסוד כבוד האדם. </w:t>
      </w:r>
    </w:p>
    <w:p w:rsidR="00A35E65" w:rsidRPr="00A35E65" w:rsidRDefault="00A35E65" w:rsidP="00A35E65">
      <w:pPr>
        <w:spacing w:before="240" w:after="0" w:line="360" w:lineRule="auto"/>
        <w:jc w:val="both"/>
        <w:rPr>
          <w:rFonts w:ascii="David" w:eastAsia="Calibri" w:hAnsi="David" w:cs="David"/>
          <w:b/>
          <w:bCs/>
          <w:sz w:val="24"/>
          <w:szCs w:val="24"/>
          <w:rtl/>
        </w:rPr>
      </w:pPr>
      <w:r w:rsidRPr="00A35E65">
        <w:rPr>
          <w:rFonts w:ascii="David" w:eastAsia="Calibri" w:hAnsi="David" w:cs="David"/>
          <w:b/>
          <w:bCs/>
          <w:sz w:val="24"/>
          <w:szCs w:val="24"/>
          <w:rtl/>
        </w:rPr>
        <w:t>אין מקום לפרש את סעיף 4 לחוק בצמצום כטענת ב"כ הנאשמים.</w:t>
      </w:r>
    </w:p>
    <w:p w:rsidR="00A35E65" w:rsidRPr="00A35E65" w:rsidRDefault="00A35E65" w:rsidP="00A35E65">
      <w:pPr>
        <w:spacing w:before="240" w:after="0" w:line="360" w:lineRule="auto"/>
        <w:jc w:val="both"/>
        <w:rPr>
          <w:rFonts w:ascii="David" w:eastAsia="Calibri" w:hAnsi="David" w:cs="David"/>
          <w:b/>
          <w:bCs/>
          <w:sz w:val="24"/>
          <w:szCs w:val="24"/>
          <w:rtl/>
        </w:rPr>
      </w:pPr>
      <w:r w:rsidRPr="00A35E65">
        <w:rPr>
          <w:rFonts w:ascii="David" w:eastAsia="Calibri" w:hAnsi="David" w:cs="David"/>
          <w:b/>
          <w:bCs/>
          <w:sz w:val="24"/>
          <w:szCs w:val="24"/>
          <w:rtl/>
        </w:rPr>
        <w:t>סעיף 4 לחוק נועד להגן על זכויות הילדים לחינוך.</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למעשה מלאכת האיזונים בוצעה זה מכבר על-ידי חקיקה ראשית והלכות ביהמ"ש העליון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sz w:val="24"/>
          <w:szCs w:val="24"/>
          <w:rtl/>
        </w:rPr>
        <w:t xml:space="preserve">גם בחוק לימוד חובה ביטא המחוקק איזון בין החובה של ההורים לדאוג שילדיו יפקדו באופן סדיר מסגרת חינוכית לבין רצון הורים להשפיע על תכני לימוד על רקע תרבותי ו/או מיגזרי  כפי שעולה מסעיף 5 לחוק ללימוד חובה </w:t>
      </w:r>
      <w:r w:rsidRPr="00A35E65">
        <w:rPr>
          <w:rFonts w:ascii="Time New Roman" w:eastAsia="Times New Roman" w:hAnsi="Time New Roman" w:cs="David"/>
          <w:b/>
          <w:bCs/>
          <w:noProof/>
          <w:color w:val="008000"/>
          <w:sz w:val="25"/>
          <w:szCs w:val="25"/>
          <w:rtl/>
        </w:rPr>
        <w:t xml:space="preserve">שכותרתו פטור </w:t>
      </w:r>
      <w:r w:rsidRPr="00A35E65">
        <w:rPr>
          <w:rFonts w:ascii="Time New Roman" w:eastAsia="Times New Roman" w:hAnsi="Time New Roman" w:cs="David"/>
          <w:b/>
          <w:bCs/>
          <w:noProof/>
          <w:color w:val="008000"/>
          <w:sz w:val="27"/>
          <w:szCs w:val="27"/>
          <w:rtl/>
        </w:rPr>
        <w:t>[</w:t>
      </w:r>
      <w:r w:rsidRPr="00A35E65">
        <w:rPr>
          <w:rFonts w:ascii="Time New Roman" w:eastAsia="Times New Roman" w:hAnsi="Time New Roman" w:cs="David"/>
          <w:b/>
          <w:bCs/>
          <w:noProof/>
          <w:color w:val="008000"/>
          <w:sz w:val="23"/>
          <w:szCs w:val="23"/>
          <w:rtl/>
        </w:rPr>
        <w:t>(תיקון מס' 33) תשע"ג-2013 (תיקון מס' 35) תשע"ו-2016</w:t>
      </w:r>
      <w:r w:rsidRPr="00A35E65">
        <w:rPr>
          <w:rFonts w:ascii="Times New Roman" w:eastAsia="Times New Roman" w:hAnsi="Times New Roman" w:cs="Times New Roman" w:hint="cs"/>
          <w:color w:val="000000"/>
          <w:sz w:val="20"/>
          <w:szCs w:val="20"/>
          <w:rtl/>
        </w:rPr>
        <w:t xml:space="preserve"> ]</w:t>
      </w:r>
      <w:r w:rsidRPr="00A35E65">
        <w:rPr>
          <w:rFonts w:ascii="David" w:eastAsia="Calibri" w:hAnsi="David" w:cs="David"/>
          <w:sz w:val="24"/>
          <w:szCs w:val="24"/>
          <w:rtl/>
        </w:rPr>
        <w:t>. המחוקק אף מאפשר להורים לבחור בזרם מוכר ( סעיף 10 לחוק ).</w:t>
      </w:r>
    </w:p>
    <w:p w:rsidR="00A35E65" w:rsidRPr="00A35E65" w:rsidRDefault="00A35E65" w:rsidP="00A35E65">
      <w:pPr>
        <w:spacing w:before="240" w:after="0" w:line="360" w:lineRule="auto"/>
        <w:jc w:val="both"/>
        <w:rPr>
          <w:rFonts w:ascii="David" w:eastAsia="Calibri" w:hAnsi="David" w:cs="David"/>
          <w:sz w:val="24"/>
          <w:szCs w:val="24"/>
          <w:rtl/>
        </w:rPr>
      </w:pPr>
      <w:r w:rsidRPr="00A35E65">
        <w:rPr>
          <w:rFonts w:ascii="David" w:eastAsia="Calibri" w:hAnsi="David" w:cs="David"/>
          <w:b/>
          <w:bCs/>
          <w:sz w:val="24"/>
          <w:szCs w:val="24"/>
          <w:rtl/>
        </w:rPr>
        <w:t>בסעיף 5  לחוק המחוקק הסמיך את השר לתת פטור על דרך מתן אישור לחינוך ביתי שיטתי</w:t>
      </w:r>
      <w:r w:rsidRPr="00A35E65">
        <w:rPr>
          <w:rFonts w:ascii="David" w:eastAsia="Calibri" w:hAnsi="David" w:cs="David"/>
          <w:sz w:val="24"/>
          <w:szCs w:val="24"/>
          <w:rtl/>
        </w:rPr>
        <w:t xml:space="preserve"> המניח את הדעת לדעת השר.  </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Calibri" w:hAnsi="David" w:cs="David"/>
          <w:sz w:val="24"/>
          <w:szCs w:val="24"/>
          <w:rtl/>
        </w:rPr>
        <w:t xml:space="preserve">בסעיף 5 לחוק המחוקק אף הסמיך את השר לתת פטור מהוראת סעי 4  , </w:t>
      </w:r>
      <w:r w:rsidRPr="00A35E65">
        <w:rPr>
          <w:rFonts w:ascii="David" w:eastAsia="Calibri" w:hAnsi="David" w:cs="David"/>
          <w:b/>
          <w:bCs/>
          <w:sz w:val="24"/>
          <w:szCs w:val="24"/>
          <w:rtl/>
        </w:rPr>
        <w:t>אם השתכנע שהילד אינו מסוגל ללמוד</w:t>
      </w:r>
      <w:r w:rsidRPr="00A35E65">
        <w:rPr>
          <w:rFonts w:ascii="David" w:eastAsia="Calibri" w:hAnsi="David" w:cs="David"/>
          <w:sz w:val="24"/>
          <w:szCs w:val="24"/>
          <w:rtl/>
        </w:rPr>
        <w:t xml:space="preserve"> </w:t>
      </w:r>
      <w:r w:rsidRPr="00A35E65">
        <w:rPr>
          <w:rFonts w:ascii="David" w:eastAsia="Times New Roman" w:hAnsi="David" w:cs="David"/>
          <w:color w:val="000000"/>
          <w:sz w:val="24"/>
          <w:szCs w:val="24"/>
          <w:rtl/>
        </w:rPr>
        <w:t xml:space="preserve">וזו לשון הסעיף: </w:t>
      </w:r>
    </w:p>
    <w:p w:rsidR="00A35E65" w:rsidRPr="00A35E65" w:rsidRDefault="00A35E65" w:rsidP="00A35E65">
      <w:pPr>
        <w:spacing w:before="72" w:after="0" w:line="240" w:lineRule="auto"/>
        <w:ind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5".    (א)  השר רשאי להורות, בהוראה שתפורסם ברשומות, כי </w:t>
      </w:r>
      <w:r w:rsidRPr="00A35E65">
        <w:rPr>
          <w:rFonts w:ascii="David" w:eastAsia="Times New Roman" w:hAnsi="David" w:cs="David"/>
          <w:b/>
          <w:bCs/>
          <w:color w:val="000000"/>
          <w:sz w:val="24"/>
          <w:szCs w:val="24"/>
          <w:rtl/>
        </w:rPr>
        <w:t xml:space="preserve">ההורים של ילדים ושל נערים, וכן הנערים עצמם הלומדים באופן סדיר במוסד חינוך המתואר באותה הוראה, ואינו מוסד חינוך מוכר – יהיו פטורים מן החובות </w:t>
      </w:r>
      <w:r w:rsidRPr="00A35E65">
        <w:rPr>
          <w:rFonts w:ascii="David" w:eastAsia="Times New Roman" w:hAnsi="David" w:cs="David"/>
          <w:color w:val="000000"/>
          <w:sz w:val="24"/>
          <w:szCs w:val="24"/>
          <w:rtl/>
        </w:rPr>
        <w:t xml:space="preserve">המוטלות עליהם לפי סעיף </w:t>
      </w:r>
      <w:r w:rsidRPr="00A35E65">
        <w:rPr>
          <w:rFonts w:ascii="David" w:eastAsia="Times New Roman" w:hAnsi="David" w:cs="David"/>
          <w:color w:val="000000"/>
          <w:sz w:val="24"/>
          <w:szCs w:val="24"/>
          <w:rtl/>
        </w:rPr>
        <w:lastRenderedPageBreak/>
        <w:t>4; השר רשאי לקבוע, בתקנות, הוראות ותנאים שעל מוסד חינוך לקיימם לצורך מתן הוראת פטור לגביו לפי סעיף קטן זה, ובכלל זה לעניין הפעלת המוסד.</w:t>
      </w:r>
    </w:p>
    <w:p w:rsidR="00A35E65" w:rsidRPr="00A35E65" w:rsidRDefault="00A35E65" w:rsidP="00A35E65">
      <w:pPr>
        <w:spacing w:before="72" w:after="0" w:line="240" w:lineRule="auto"/>
        <w:ind w:right="1134"/>
        <w:rPr>
          <w:rFonts w:ascii="David" w:eastAsia="Times New Roman" w:hAnsi="David" w:cs="David"/>
          <w:color w:val="000000"/>
          <w:sz w:val="24"/>
          <w:szCs w:val="24"/>
          <w:rtl/>
        </w:rPr>
      </w:pPr>
      <w:r w:rsidRPr="00A35E65">
        <w:rPr>
          <w:rFonts w:ascii="David" w:eastAsia="Times New Roman" w:hAnsi="David" w:cs="David"/>
          <w:b/>
          <w:bCs/>
          <w:color w:val="008000"/>
          <w:sz w:val="24"/>
          <w:szCs w:val="24"/>
          <w:rtl/>
        </w:rPr>
        <w:t>(תיקון מס' 31) תשס"ח-2008</w:t>
      </w:r>
    </w:p>
    <w:p w:rsidR="00A35E65" w:rsidRPr="00A35E65" w:rsidRDefault="00A35E65" w:rsidP="00A35E65">
      <w:pPr>
        <w:spacing w:before="72" w:after="0" w:line="240" w:lineRule="auto"/>
        <w:ind w:left="720"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(א1)        הורים של ילדים או של נערים, וכן הנערים עצמם, הלומדים באופן סדיר </w:t>
      </w:r>
      <w:r w:rsidRPr="00A35E65">
        <w:rPr>
          <w:rFonts w:ascii="David" w:eastAsia="Times New Roman" w:hAnsi="David" w:cs="David"/>
          <w:color w:val="000000"/>
          <w:sz w:val="24"/>
          <w:szCs w:val="24"/>
          <w:rtl/>
        </w:rPr>
        <w:tab/>
      </w:r>
      <w:r w:rsidRPr="00A35E65">
        <w:rPr>
          <w:rFonts w:ascii="David" w:eastAsia="Times New Roman" w:hAnsi="David" w:cs="David"/>
          <w:b/>
          <w:bCs/>
          <w:color w:val="000000"/>
          <w:sz w:val="24"/>
          <w:szCs w:val="24"/>
          <w:rtl/>
        </w:rPr>
        <w:t>במוסד חינוך תרבותי ייחודי</w:t>
      </w:r>
      <w:r w:rsidRPr="00A35E65">
        <w:rPr>
          <w:rFonts w:ascii="David" w:eastAsia="Times New Roman" w:hAnsi="David" w:cs="David"/>
          <w:color w:val="000000"/>
          <w:sz w:val="24"/>
          <w:szCs w:val="24"/>
          <w:rtl/>
        </w:rPr>
        <w:t xml:space="preserve"> כהגדרתו בחוק מוסדות חינוך תרבותיים </w:t>
      </w:r>
      <w:r w:rsidRPr="00A35E65">
        <w:rPr>
          <w:rFonts w:ascii="David" w:eastAsia="Times New Roman" w:hAnsi="David" w:cs="David"/>
          <w:color w:val="000000"/>
          <w:sz w:val="24"/>
          <w:szCs w:val="24"/>
          <w:rtl/>
        </w:rPr>
        <w:tab/>
        <w:t xml:space="preserve">ייחודיים, התשס"ח-2008, יהיו פטורים מן החובות המוטלות עליהם לפי </w:t>
      </w:r>
      <w:r w:rsidRPr="00A35E65">
        <w:rPr>
          <w:rFonts w:ascii="David" w:eastAsia="Times New Roman" w:hAnsi="David" w:cs="David"/>
          <w:color w:val="000000"/>
          <w:sz w:val="24"/>
          <w:szCs w:val="24"/>
          <w:rtl/>
        </w:rPr>
        <w:tab/>
        <w:t>סעיף 4.</w:t>
      </w:r>
    </w:p>
    <w:p w:rsidR="00A35E65" w:rsidRPr="00A35E65" w:rsidRDefault="00A35E65" w:rsidP="00A35E65">
      <w:pPr>
        <w:spacing w:before="72" w:after="0" w:line="240" w:lineRule="auto"/>
        <w:ind w:left="1021" w:right="1134" w:hanging="1021"/>
        <w:jc w:val="both"/>
        <w:rPr>
          <w:rFonts w:ascii="David" w:eastAsia="Times New Roman" w:hAnsi="David" w:cs="David"/>
          <w:b/>
          <w:bCs/>
          <w:color w:val="000000"/>
          <w:sz w:val="24"/>
          <w:szCs w:val="24"/>
          <w:rtl/>
        </w:rPr>
      </w:pPr>
      <w:r w:rsidRPr="00A35E65">
        <w:rPr>
          <w:rFonts w:ascii="David" w:eastAsia="Times New Roman" w:hAnsi="David" w:cs="David"/>
          <w:color w:val="000000"/>
          <w:sz w:val="24"/>
          <w:szCs w:val="24"/>
          <w:rtl/>
        </w:rPr>
        <w:t xml:space="preserve">           (ב)  (1)   </w:t>
      </w:r>
      <w:r w:rsidRPr="00A35E65">
        <w:rPr>
          <w:rFonts w:ascii="David" w:eastAsia="Times New Roman" w:hAnsi="David" w:cs="David"/>
          <w:b/>
          <w:bCs/>
          <w:color w:val="000000"/>
          <w:sz w:val="24"/>
          <w:szCs w:val="24"/>
          <w:rtl/>
        </w:rPr>
        <w:t>השר רשאי להורות</w:t>
      </w:r>
      <w:r w:rsidRPr="00A35E65">
        <w:rPr>
          <w:rFonts w:ascii="David" w:eastAsia="Times New Roman" w:hAnsi="David" w:cs="David"/>
          <w:color w:val="000000"/>
          <w:sz w:val="24"/>
          <w:szCs w:val="24"/>
          <w:rtl/>
        </w:rPr>
        <w:t xml:space="preserve">, בהוראה כללית או מיוחדת, כי </w:t>
      </w:r>
      <w:r w:rsidRPr="00A35E65">
        <w:rPr>
          <w:rFonts w:ascii="David" w:eastAsia="Times New Roman" w:hAnsi="David" w:cs="David"/>
          <w:b/>
          <w:bCs/>
          <w:color w:val="000000"/>
          <w:sz w:val="24"/>
          <w:szCs w:val="24"/>
          <w:rtl/>
        </w:rPr>
        <w:t>ההורים</w:t>
      </w:r>
      <w:r w:rsidRPr="00A35E65">
        <w:rPr>
          <w:rFonts w:ascii="David" w:eastAsia="Times New Roman" w:hAnsi="David" w:cs="David"/>
          <w:color w:val="000000"/>
          <w:sz w:val="24"/>
          <w:szCs w:val="24"/>
          <w:rtl/>
        </w:rPr>
        <w:t xml:space="preserve"> ונותן העבודה </w:t>
      </w:r>
      <w:r w:rsidRPr="00A35E65">
        <w:rPr>
          <w:rFonts w:ascii="David" w:eastAsia="Times New Roman" w:hAnsi="David" w:cs="David"/>
          <w:color w:val="000000"/>
          <w:sz w:val="24"/>
          <w:szCs w:val="24"/>
          <w:rtl/>
        </w:rPr>
        <w:tab/>
        <w:t xml:space="preserve">של ילד או של נער, וכן הנער עצמו, </w:t>
      </w:r>
      <w:r w:rsidRPr="00A35E65">
        <w:rPr>
          <w:rFonts w:ascii="David" w:eastAsia="Times New Roman" w:hAnsi="David" w:cs="David"/>
          <w:b/>
          <w:bCs/>
          <w:color w:val="000000"/>
          <w:sz w:val="24"/>
          <w:szCs w:val="24"/>
          <w:rtl/>
        </w:rPr>
        <w:t>יהיו פטורים מן החובות</w:t>
      </w:r>
      <w:r w:rsidRPr="00A35E65">
        <w:rPr>
          <w:rFonts w:ascii="David" w:eastAsia="Times New Roman" w:hAnsi="David" w:cs="David"/>
          <w:color w:val="000000"/>
          <w:sz w:val="24"/>
          <w:szCs w:val="24"/>
          <w:rtl/>
        </w:rPr>
        <w:t xml:space="preserve"> המוטלות </w:t>
      </w:r>
      <w:r w:rsidRPr="00A35E65">
        <w:rPr>
          <w:rFonts w:ascii="David" w:eastAsia="Times New Roman" w:hAnsi="David" w:cs="David"/>
          <w:color w:val="000000"/>
          <w:sz w:val="24"/>
          <w:szCs w:val="24"/>
          <w:rtl/>
        </w:rPr>
        <w:tab/>
        <w:t xml:space="preserve">עליהם לפי סעיף 4, </w:t>
      </w:r>
      <w:r w:rsidRPr="00A35E65">
        <w:rPr>
          <w:rFonts w:ascii="David" w:eastAsia="Times New Roman" w:hAnsi="David" w:cs="David"/>
          <w:b/>
          <w:bCs/>
          <w:color w:val="000000"/>
          <w:sz w:val="24"/>
          <w:szCs w:val="24"/>
          <w:rtl/>
        </w:rPr>
        <w:t>אם –</w:t>
      </w:r>
    </w:p>
    <w:p w:rsidR="00A35E65" w:rsidRPr="00A35E65" w:rsidRDefault="00A35E65" w:rsidP="00A35E65">
      <w:pPr>
        <w:spacing w:before="72" w:after="0" w:line="240" w:lineRule="auto"/>
        <w:ind w:left="1474" w:right="1134"/>
        <w:jc w:val="both"/>
        <w:rPr>
          <w:rFonts w:ascii="David" w:eastAsia="Times New Roman" w:hAnsi="David" w:cs="David"/>
          <w:b/>
          <w:bCs/>
          <w:color w:val="000000"/>
          <w:sz w:val="24"/>
          <w:szCs w:val="24"/>
        </w:rPr>
      </w:pPr>
      <w:r w:rsidRPr="00A35E65">
        <w:rPr>
          <w:rFonts w:ascii="David" w:eastAsia="Times New Roman" w:hAnsi="David" w:cs="David"/>
          <w:color w:val="000000"/>
          <w:sz w:val="24"/>
          <w:szCs w:val="24"/>
          <w:rtl/>
        </w:rPr>
        <w:t>(</w:t>
      </w:r>
      <w:r w:rsidRPr="00A35E65">
        <w:rPr>
          <w:rFonts w:ascii="David" w:eastAsia="Times New Roman" w:hAnsi="David" w:cs="David"/>
          <w:color w:val="000000"/>
          <w:sz w:val="24"/>
          <w:szCs w:val="24"/>
        </w:rPr>
        <w:t>I</w:t>
      </w:r>
      <w:r w:rsidRPr="00A35E65">
        <w:rPr>
          <w:rFonts w:ascii="David" w:eastAsia="Times New Roman" w:hAnsi="David" w:cs="David"/>
          <w:color w:val="000000"/>
          <w:sz w:val="24"/>
          <w:szCs w:val="24"/>
          <w:rtl/>
        </w:rPr>
        <w:t xml:space="preserve">)    קיימים, לדעת השר, טעמים מיוחדים לכך שהילד או הנער לא ילמד במוסד חינוך מוכר, </w:t>
      </w:r>
      <w:r w:rsidRPr="00A35E65">
        <w:rPr>
          <w:rFonts w:ascii="David" w:eastAsia="Times New Roman" w:hAnsi="David" w:cs="David"/>
          <w:b/>
          <w:bCs/>
          <w:color w:val="000000"/>
          <w:sz w:val="24"/>
          <w:szCs w:val="24"/>
          <w:rtl/>
        </w:rPr>
        <w:t>והילד או הנער מקבל באופן פרטי לימוד שיטתי המניח את דעת השר; או</w:t>
      </w:r>
    </w:p>
    <w:p w:rsidR="00A35E65" w:rsidRPr="00A35E65" w:rsidRDefault="00A35E65" w:rsidP="00A35E65">
      <w:pPr>
        <w:spacing w:before="72" w:after="0" w:line="240" w:lineRule="auto"/>
        <w:ind w:left="1474" w:right="1134"/>
        <w:jc w:val="both"/>
        <w:rPr>
          <w:rFonts w:ascii="David" w:eastAsia="Times New Roman" w:hAnsi="David" w:cs="David"/>
          <w:color w:val="000000"/>
          <w:sz w:val="24"/>
          <w:szCs w:val="24"/>
          <w:rtl/>
        </w:rPr>
      </w:pPr>
      <w:r w:rsidRPr="00A35E65">
        <w:rPr>
          <w:rFonts w:ascii="David" w:eastAsia="Times New Roman" w:hAnsi="David" w:cs="David"/>
          <w:b/>
          <w:bCs/>
          <w:color w:val="000000"/>
          <w:sz w:val="24"/>
          <w:szCs w:val="24"/>
          <w:rtl/>
        </w:rPr>
        <w:t>(</w:t>
      </w:r>
      <w:r w:rsidRPr="00A35E65">
        <w:rPr>
          <w:rFonts w:ascii="David" w:eastAsia="Times New Roman" w:hAnsi="David" w:cs="David"/>
          <w:b/>
          <w:bCs/>
          <w:color w:val="000000"/>
          <w:sz w:val="24"/>
          <w:szCs w:val="24"/>
        </w:rPr>
        <w:t>II</w:t>
      </w:r>
      <w:r w:rsidRPr="00A35E65">
        <w:rPr>
          <w:rFonts w:ascii="David" w:eastAsia="Times New Roman" w:hAnsi="David" w:cs="David"/>
          <w:b/>
          <w:bCs/>
          <w:color w:val="000000"/>
          <w:sz w:val="24"/>
          <w:szCs w:val="24"/>
          <w:rtl/>
        </w:rPr>
        <w:t xml:space="preserve">)   השר משוכנע </w:t>
      </w:r>
      <w:r w:rsidRPr="00A35E65">
        <w:rPr>
          <w:rFonts w:ascii="David" w:eastAsia="Times New Roman" w:hAnsi="David" w:cs="David"/>
          <w:color w:val="000000"/>
          <w:sz w:val="24"/>
          <w:szCs w:val="24"/>
          <w:rtl/>
        </w:rPr>
        <w:t>שאין הילד או הנער מסוגל ללמוד באופן סדיר במוסד חינוך מוכר;</w:t>
      </w:r>
    </w:p>
    <w:p w:rsidR="00A35E65" w:rsidRPr="00A35E65" w:rsidRDefault="00A35E65" w:rsidP="00A35E65">
      <w:pPr>
        <w:spacing w:before="72" w:after="0" w:line="240" w:lineRule="auto"/>
        <w:ind w:left="1021" w:right="1134"/>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(2)   בהוראה לפי סעיף קטן זה רשאי השר לקבוע כל תנאי וכל סייג הנראים </w:t>
      </w:r>
      <w:r w:rsidRPr="00A35E65">
        <w:rPr>
          <w:rFonts w:ascii="David" w:eastAsia="Times New Roman" w:hAnsi="David" w:cs="David"/>
          <w:color w:val="000000"/>
          <w:sz w:val="24"/>
          <w:szCs w:val="24"/>
          <w:rtl/>
        </w:rPr>
        <w:tab/>
        <w:t>לו;</w:t>
      </w:r>
    </w:p>
    <w:p w:rsidR="00A35E65" w:rsidRPr="00A35E65" w:rsidRDefault="00A35E65" w:rsidP="00A35E65">
      <w:pPr>
        <w:spacing w:before="72" w:after="0" w:line="240" w:lineRule="auto"/>
        <w:ind w:left="1021" w:right="1134"/>
        <w:rPr>
          <w:rFonts w:ascii="David" w:eastAsia="Times New Roman" w:hAnsi="David" w:cs="David"/>
          <w:color w:val="000000"/>
          <w:sz w:val="24"/>
          <w:szCs w:val="24"/>
          <w:rtl/>
        </w:rPr>
      </w:pPr>
      <w:r w:rsidRPr="00A35E65">
        <w:rPr>
          <w:rFonts w:ascii="David" w:eastAsia="Times New Roman" w:hAnsi="David" w:cs="David"/>
          <w:b/>
          <w:bCs/>
          <w:color w:val="008000"/>
          <w:sz w:val="24"/>
          <w:szCs w:val="24"/>
          <w:rtl/>
        </w:rPr>
        <w:t>(תיקון מס' 9) תשל"ב-1972</w:t>
      </w:r>
    </w:p>
    <w:p w:rsidR="00A35E65" w:rsidRPr="00A35E65" w:rsidRDefault="00A35E65" w:rsidP="00A35E65">
      <w:pPr>
        <w:spacing w:before="72" w:after="0" w:line="240" w:lineRule="auto"/>
        <w:ind w:left="1021" w:right="1134"/>
        <w:jc w:val="both"/>
        <w:rPr>
          <w:rFonts w:ascii="Times New Roman" w:eastAsia="Times New Roman" w:hAnsi="Times New Roman" w:cs="Times New Roman"/>
          <w:sz w:val="24"/>
          <w:szCs w:val="24"/>
          <w:rtl/>
        </w:rPr>
      </w:pPr>
      <w:r w:rsidRPr="00A35E65">
        <w:rPr>
          <w:rFonts w:ascii="David" w:eastAsia="Times New Roman" w:hAnsi="David" w:cs="David"/>
          <w:color w:val="000000"/>
          <w:sz w:val="24"/>
          <w:szCs w:val="24"/>
          <w:rtl/>
        </w:rPr>
        <w:t xml:space="preserve">(3)   </w:t>
      </w:r>
      <w:r w:rsidRPr="00A35E65">
        <w:rPr>
          <w:rFonts w:ascii="David" w:eastAsia="Times New Roman" w:hAnsi="David" w:cs="David"/>
          <w:color w:val="000000"/>
          <w:sz w:val="24"/>
          <w:szCs w:val="24"/>
          <w:rtl/>
        </w:rPr>
        <w:tab/>
        <w:t>מי שניתנה עליו הוראת פטור לפי סעיף זה, לא יחולו לגביו הוראות סעיפים 6, 7 ו-10 אלא בכפוף לתנאים ולסייגים שבהוראות הפטור, ובלבד שתישמר החובה לספק לילד או לנער לימודים במסגרת שקבע השר בכל מקרה שהילד או הנער מסוגל לכך ".</w:t>
      </w:r>
    </w:p>
    <w:p w:rsidR="00A35E65" w:rsidRPr="00A35E65" w:rsidRDefault="00A35E65" w:rsidP="00A35E65">
      <w:pPr>
        <w:spacing w:before="72" w:after="0" w:line="240" w:lineRule="auto"/>
        <w:ind w:left="1021" w:right="1134" w:hanging="1021"/>
        <w:jc w:val="both"/>
        <w:rPr>
          <w:rFonts w:ascii="FrankRuehl" w:eastAsia="Times New Roman" w:hAnsi="FrankRuehl" w:cs="FrankRuehl"/>
          <w:color w:val="000000"/>
          <w:sz w:val="26"/>
          <w:szCs w:val="26"/>
          <w:rtl/>
        </w:rPr>
      </w:pPr>
    </w:p>
    <w:p w:rsidR="00A35E65" w:rsidRPr="00A35E65" w:rsidRDefault="00A35E65" w:rsidP="00A35E65">
      <w:pPr>
        <w:spacing w:before="72" w:after="0" w:line="240" w:lineRule="auto"/>
        <w:ind w:right="142"/>
        <w:jc w:val="both"/>
        <w:rPr>
          <w:rFonts w:ascii="David" w:eastAsia="Times New Roman" w:hAnsi="David" w:cs="David"/>
          <w:color w:val="000000"/>
          <w:sz w:val="26"/>
          <w:szCs w:val="26"/>
          <w:rtl/>
        </w:rPr>
      </w:pPr>
      <w:r w:rsidRPr="00A35E65">
        <w:rPr>
          <w:rFonts w:ascii="David" w:eastAsia="Times New Roman" w:hAnsi="David" w:cs="David"/>
          <w:b/>
          <w:bCs/>
          <w:color w:val="000000"/>
          <w:sz w:val="26"/>
          <w:szCs w:val="26"/>
          <w:rtl/>
        </w:rPr>
        <w:t>במסגרת סמכויות השר לתת פטור נקבעה הוראת קבע שמספרה 0274</w:t>
      </w:r>
      <w:r w:rsidRPr="00A35E65">
        <w:rPr>
          <w:rFonts w:ascii="David" w:eastAsia="Times New Roman" w:hAnsi="David" w:cs="David"/>
          <w:color w:val="000000"/>
          <w:sz w:val="26"/>
          <w:szCs w:val="26"/>
          <w:rtl/>
        </w:rPr>
        <w:t xml:space="preserve"> ( להלן:  חוזר מנכ"ל ) המפרט את הנהל והדרישות ביחס לבקשה לחינוך ביתי, שהינן דרישות מהותיות וסבירות.</w:t>
      </w:r>
    </w:p>
    <w:p w:rsidR="00A35E65" w:rsidRPr="00A35E65" w:rsidRDefault="00A35E65" w:rsidP="00A35E65">
      <w:pPr>
        <w:spacing w:before="72" w:after="0" w:line="360" w:lineRule="auto"/>
        <w:ind w:right="142"/>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טענות ב"כ הנאשמים כי תהליך בקשה לקבלת  פטור פוגעני הפוגע בין היתר בפרטיות הנאשמים ובכבוד המשפחה בשל הצורך לחתום על טופס ויתור סודיות רפואית כמו גם בשל הדרישה לבקר בבית הנאשמים עם מפקח ואנשים נוספים כדי לבחון כשירותם ללמד את הקטין בחינוך ביתי,  נטענו בעלמא , באופן כללי ודינן להידחות.  </w:t>
      </w:r>
    </w:p>
    <w:p w:rsidR="00A35E65" w:rsidRPr="00A35E65" w:rsidRDefault="00A35E65" w:rsidP="00A35E65">
      <w:pPr>
        <w:spacing w:before="72" w:after="0" w:line="360" w:lineRule="auto"/>
        <w:ind w:right="142"/>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גם הטענה שתהליך הפטור מחייב מההורים להכין תכנית חינוך וסדר יום שבועי נוגד את תפישת עולמם החינוכית לחינוך חופשי  מתוך סקרנות טבעית ומול חוויות יומיות , אינה מסייעת לנאשמים ודינה להידחות.  </w:t>
      </w:r>
    </w:p>
    <w:p w:rsidR="00A35E65" w:rsidRPr="00A35E65" w:rsidRDefault="00A35E65" w:rsidP="00A35E65">
      <w:pPr>
        <w:spacing w:before="72" w:after="0" w:line="360" w:lineRule="auto"/>
        <w:ind w:right="142"/>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דרישות חוזר המנכ"ל מהותיות , הגיוניות וסבירות. </w:t>
      </w:r>
    </w:p>
    <w:p w:rsidR="00A35E65" w:rsidRPr="00A35E65" w:rsidRDefault="00A35E65" w:rsidP="00A35E65">
      <w:pPr>
        <w:spacing w:before="72" w:after="0" w:line="360" w:lineRule="auto"/>
        <w:ind w:right="142"/>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דרישות אלו נועדו לבחון אם הנאשמים יכולים ומסוגלים  לממש את זכות הקטין לרכישת השכלה ומיומנויות להן נזקק וזכאי כדי להתפתח. </w:t>
      </w:r>
    </w:p>
    <w:p w:rsidR="00A35E65" w:rsidRPr="00A35E65" w:rsidRDefault="00A35E65" w:rsidP="00A35E65">
      <w:pPr>
        <w:spacing w:before="72" w:after="0" w:line="360" w:lineRule="auto"/>
        <w:ind w:right="142"/>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הנאשמים התחמקו מלעמוד בתנאי התהליך לקבלת הפטור . </w:t>
      </w:r>
    </w:p>
    <w:p w:rsidR="00A35E65" w:rsidRPr="00A35E65" w:rsidRDefault="00A35E65" w:rsidP="00A35E65">
      <w:pPr>
        <w:spacing w:before="72" w:after="0" w:line="360" w:lineRule="auto"/>
        <w:ind w:right="142"/>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הנאשמים לא יכולים להסתמך על טענותיהם כנגד חוזר המנכ"ל  כאשר כלל לא פעלו להגיש בקשה לחינוך ביתי הגם שהתהליך הוסבר להם ע"י הקב"ס . </w:t>
      </w:r>
    </w:p>
    <w:p w:rsidR="00A35E65" w:rsidRPr="00A35E65" w:rsidRDefault="00A35E65" w:rsidP="00A35E65">
      <w:pPr>
        <w:spacing w:before="72" w:after="0" w:line="360" w:lineRule="auto"/>
        <w:ind w:right="1134"/>
        <w:rPr>
          <w:rFonts w:ascii="David" w:eastAsia="Times New Roman" w:hAnsi="David" w:cs="David"/>
          <w:color w:val="000000"/>
          <w:sz w:val="24"/>
          <w:szCs w:val="24"/>
          <w:rtl/>
        </w:rPr>
      </w:pPr>
      <w:r w:rsidRPr="00A35E65">
        <w:rPr>
          <w:rFonts w:ascii="David" w:eastAsia="Times New Roman" w:hAnsi="David" w:cs="David"/>
          <w:sz w:val="24"/>
          <w:szCs w:val="24"/>
          <w:rtl/>
        </w:rPr>
        <w:t xml:space="preserve">בבג"ץ 6672/07 </w:t>
      </w:r>
      <w:r w:rsidRPr="00A35E65">
        <w:rPr>
          <w:rFonts w:ascii="David" w:eastAsia="Times New Roman" w:hAnsi="David" w:cs="David"/>
          <w:b/>
          <w:bCs/>
          <w:sz w:val="24"/>
          <w:szCs w:val="24"/>
          <w:rtl/>
        </w:rPr>
        <w:t xml:space="preserve">זיניגרד ואח' נ' משרד החינוך ואח' </w:t>
      </w:r>
      <w:r w:rsidRPr="00A35E65">
        <w:rPr>
          <w:rFonts w:ascii="David" w:eastAsia="Times New Roman" w:hAnsi="David" w:cs="David"/>
          <w:sz w:val="24"/>
          <w:szCs w:val="24"/>
          <w:rtl/>
        </w:rPr>
        <w:t xml:space="preserve">(30.3.09) (להלן: </w:t>
      </w:r>
      <w:r w:rsidRPr="00A35E65">
        <w:rPr>
          <w:rFonts w:ascii="David" w:eastAsia="Times New Roman" w:hAnsi="David" w:cs="David"/>
          <w:b/>
          <w:bCs/>
          <w:sz w:val="24"/>
          <w:szCs w:val="24"/>
          <w:rtl/>
        </w:rPr>
        <w:t>ענין  זיניגרד</w:t>
      </w:r>
      <w:r w:rsidRPr="00A35E65">
        <w:rPr>
          <w:rFonts w:ascii="David" w:eastAsia="Times New Roman" w:hAnsi="David" w:cs="David"/>
          <w:sz w:val="24"/>
          <w:szCs w:val="24"/>
          <w:rtl/>
        </w:rPr>
        <w:t>)</w:t>
      </w:r>
      <w:r w:rsidRPr="00A35E65">
        <w:rPr>
          <w:rFonts w:ascii="David" w:eastAsia="Times New Roman" w:hAnsi="David" w:cs="David"/>
          <w:b/>
          <w:bCs/>
          <w:sz w:val="24"/>
          <w:szCs w:val="24"/>
          <w:rtl/>
        </w:rPr>
        <w:t xml:space="preserve"> , </w:t>
      </w:r>
      <w:r w:rsidRPr="00A35E65">
        <w:rPr>
          <w:rFonts w:ascii="David" w:eastAsia="Times New Roman" w:hAnsi="David" w:cs="David"/>
          <w:sz w:val="24"/>
          <w:szCs w:val="24"/>
          <w:rtl/>
        </w:rPr>
        <w:t>התקבלה עמדת המדינה "</w:t>
      </w:r>
      <w:r w:rsidRPr="00A35E65">
        <w:rPr>
          <w:rFonts w:ascii="David" w:eastAsia="Times New Roman" w:hAnsi="David" w:cs="David"/>
          <w:b/>
          <w:bCs/>
          <w:sz w:val="24"/>
          <w:szCs w:val="24"/>
          <w:rtl/>
        </w:rPr>
        <w:t>כי ללא הגשת בקשה מתאימה וקבלת היתר, על הורים לקיים את החובה לשלוח את ילדיהם למוסדות חינוך כנדרש על פי החוק</w:t>
      </w:r>
      <w:r w:rsidRPr="00A35E65">
        <w:rPr>
          <w:rFonts w:ascii="David" w:eastAsia="Times New Roman" w:hAnsi="David" w:cs="David"/>
          <w:color w:val="000000"/>
          <w:sz w:val="24"/>
          <w:szCs w:val="24"/>
          <w:rtl/>
        </w:rPr>
        <w:t>. "</w:t>
      </w:r>
    </w:p>
    <w:p w:rsidR="00A35E65" w:rsidRPr="00A35E65" w:rsidRDefault="00A35E65" w:rsidP="00A35E65">
      <w:pPr>
        <w:spacing w:before="72" w:after="0" w:line="360" w:lineRule="auto"/>
        <w:ind w:right="1134"/>
        <w:rPr>
          <w:rFonts w:ascii="David" w:eastAsia="Times New Roman" w:hAnsi="David" w:cs="David"/>
          <w:color w:val="000000"/>
          <w:sz w:val="24"/>
          <w:szCs w:val="24"/>
          <w:rtl/>
        </w:rPr>
      </w:pPr>
    </w:p>
    <w:p w:rsidR="00A35E65" w:rsidRPr="00A35E65" w:rsidRDefault="00A35E65" w:rsidP="00A35E65">
      <w:pPr>
        <w:spacing w:before="72" w:after="0" w:line="360" w:lineRule="auto"/>
        <w:ind w:right="1134"/>
        <w:rPr>
          <w:rFonts w:ascii="David" w:eastAsia="Times New Roman" w:hAnsi="David" w:cs="David"/>
          <w:color w:val="000000"/>
          <w:sz w:val="24"/>
          <w:szCs w:val="24"/>
          <w:rtl/>
        </w:rPr>
      </w:pPr>
      <w:r w:rsidRPr="00A35E65">
        <w:rPr>
          <w:rFonts w:ascii="David" w:eastAsia="Times New Roman" w:hAnsi="David" w:cs="David"/>
          <w:color w:val="000000"/>
          <w:sz w:val="24"/>
          <w:szCs w:val="24"/>
          <w:rtl/>
        </w:rPr>
        <w:lastRenderedPageBreak/>
        <w:t>יש לזכור כי כבר בהחלטה מיום 17.7.23 הובהר לנאשמים  בהחלטת כב' השופטת ז. דולב  17.7.23 כי ככל שלא יהיה בידם אישור לפטור יהיו חייבים למלא את הוראת סעיף 4 לחוק ללימוד חובה.</w:t>
      </w:r>
    </w:p>
    <w:p w:rsidR="00A35E65" w:rsidRPr="00A35E65" w:rsidRDefault="00A35E65" w:rsidP="00A35E65">
      <w:pPr>
        <w:spacing w:before="72" w:after="0" w:line="360" w:lineRule="auto"/>
        <w:ind w:right="1134"/>
        <w:rPr>
          <w:rFonts w:ascii="David" w:eastAsia="Times New Roman" w:hAnsi="David" w:cs="David"/>
          <w:color w:val="000000"/>
          <w:sz w:val="24"/>
          <w:szCs w:val="24"/>
          <w:rtl/>
        </w:rPr>
      </w:pPr>
    </w:p>
    <w:p w:rsidR="00A35E65" w:rsidRPr="00A35E65" w:rsidRDefault="00A35E65" w:rsidP="00A35E65">
      <w:pPr>
        <w:spacing w:after="0" w:line="360" w:lineRule="auto"/>
        <w:jc w:val="both"/>
        <w:rPr>
          <w:rFonts w:ascii="Times New Roman" w:eastAsia="Times New Roman" w:hAnsi="Times New Roman" w:cs="David"/>
          <w:noProof/>
          <w:sz w:val="24"/>
          <w:szCs w:val="24"/>
          <w:rtl/>
        </w:rPr>
      </w:pPr>
      <w:r w:rsidRPr="00A35E65">
        <w:rPr>
          <w:rFonts w:ascii="Times New Roman" w:eastAsia="Times New Roman" w:hAnsi="Times New Roman" w:cs="David"/>
          <w:noProof/>
          <w:sz w:val="24"/>
          <w:szCs w:val="24"/>
          <w:rtl/>
        </w:rPr>
        <w:t>הפסיקה קבעה כי הזכות לחינוך אף מגינה על הזכות לאוטונומיה של הילד, המדגישה זכותו לבחור לו דרך חיים שתאפשר לו לממש את עצמו, רצונותיו ויכולותיו. ראו דעת כב' הש' ארבל בסעיף 46 לפסק דינה ב-</w:t>
      </w:r>
      <w:r w:rsidRPr="00A35E65">
        <w:rPr>
          <w:rFonts w:ascii="David" w:eastAsia="Times New Roman" w:hAnsi="David" w:cs="David"/>
          <w:b/>
          <w:bCs/>
          <w:noProof/>
          <w:sz w:val="24"/>
          <w:szCs w:val="24"/>
          <w:rtl/>
        </w:rPr>
        <w:t xml:space="preserve">בפרשת רובינשטיין - </w:t>
      </w:r>
    </w:p>
    <w:p w:rsidR="00A35E65" w:rsidRPr="00A35E65" w:rsidRDefault="00A35E65" w:rsidP="00A35E65">
      <w:pPr>
        <w:spacing w:after="0" w:line="240" w:lineRule="auto"/>
        <w:ind w:left="1440" w:right="993"/>
        <w:jc w:val="both"/>
        <w:rPr>
          <w:rFonts w:ascii="Times New Roman" w:eastAsia="Times New Roman" w:hAnsi="Times New Roman" w:cs="David"/>
          <w:noProof/>
          <w:sz w:val="20"/>
          <w:szCs w:val="20"/>
          <w:rtl/>
        </w:rPr>
      </w:pPr>
    </w:p>
    <w:p w:rsidR="00A35E65" w:rsidRPr="00A35E65" w:rsidRDefault="00A35E65" w:rsidP="00A35E65">
      <w:pPr>
        <w:spacing w:after="0" w:line="276" w:lineRule="auto"/>
        <w:ind w:left="1440" w:right="993"/>
        <w:jc w:val="both"/>
        <w:rPr>
          <w:rFonts w:ascii="Times New Roman" w:eastAsia="Times New Roman" w:hAnsi="Times New Roman" w:cs="David"/>
          <w:noProof/>
          <w:sz w:val="24"/>
          <w:szCs w:val="24"/>
          <w:rtl/>
        </w:rPr>
      </w:pP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פגיעה בזכות לאוטונומיה של הילד מצויה בליבת הזכות לכבוד האדם, שכאמור מחייב התייחסות לאדם כפרט בעל רצונות ויכולות, ואשר חופש הבחירה הוא אחד המרכיבים הבסיסיים המגדירים אותו כאדם</w:t>
      </w: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 xml:space="preserve"> מתן האפשרות לכל ילד לבחור לו את דרכו מבין שלל האפשרויות בהתאם למאפייניו תלויה במידה רבה בתנאים הבסיסיים שניתנים לו על ידי משפחתו, על ידי החברה</w:t>
      </w:r>
      <w:r w:rsidRPr="00A35E65">
        <w:rPr>
          <w:rFonts w:ascii="Times New Roman" w:eastAsia="Times New Roman" w:hAnsi="Times New Roman" w:cs="David"/>
          <w:noProof/>
          <w:sz w:val="24"/>
          <w:szCs w:val="24"/>
          <w:rtl/>
        </w:rPr>
        <w:t xml:space="preserve">..., </w:t>
      </w:r>
      <w:r w:rsidRPr="00A35E65">
        <w:rPr>
          <w:rFonts w:ascii="Times New Roman" w:eastAsia="Times New Roman" w:hAnsi="Times New Roman" w:cs="David"/>
          <w:b/>
          <w:bCs/>
          <w:noProof/>
          <w:sz w:val="24"/>
          <w:szCs w:val="24"/>
          <w:rtl/>
        </w:rPr>
        <w:t>והמדינה</w:t>
      </w: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 xml:space="preserve"> ילד שלא קיבל חינוך, על שלל רבדיו באופן בסיסי למצער יתקשה לרוב לכתוב את ספר חייו באופן חופשי מאילוצים</w:t>
      </w:r>
      <w:r w:rsidRPr="00A35E65">
        <w:rPr>
          <w:rFonts w:ascii="Times New Roman" w:eastAsia="Times New Roman" w:hAnsi="Times New Roman" w:cs="David"/>
          <w:noProof/>
          <w:sz w:val="24"/>
          <w:szCs w:val="24"/>
          <w:rtl/>
        </w:rPr>
        <w:t>".</w:t>
      </w:r>
    </w:p>
    <w:p w:rsidR="00A35E65" w:rsidRPr="00A35E65" w:rsidRDefault="00A35E65" w:rsidP="00A35E65">
      <w:pPr>
        <w:spacing w:after="0" w:line="276" w:lineRule="auto"/>
        <w:ind w:left="1440" w:right="993"/>
        <w:jc w:val="both"/>
        <w:rPr>
          <w:rFonts w:ascii="Times New Roman" w:eastAsia="Times New Roman" w:hAnsi="Times New Roman" w:cs="David"/>
          <w:noProof/>
          <w:sz w:val="24"/>
          <w:szCs w:val="24"/>
          <w:rtl/>
        </w:rPr>
      </w:pPr>
    </w:p>
    <w:p w:rsidR="00A35E65" w:rsidRPr="00A35E65" w:rsidRDefault="00A35E65" w:rsidP="00A35E65">
      <w:pPr>
        <w:spacing w:after="0" w:line="360" w:lineRule="auto"/>
        <w:ind w:left="720"/>
        <w:contextualSpacing/>
        <w:rPr>
          <w:rFonts w:ascii="David" w:eastAsia="David" w:hAnsi="David" w:cs="David"/>
          <w:sz w:val="24"/>
          <w:szCs w:val="24"/>
        </w:rPr>
      </w:pPr>
      <w:r w:rsidRPr="00A35E65">
        <w:rPr>
          <w:rFonts w:ascii="David" w:eastAsia="David" w:hAnsi="David" w:cs="David"/>
          <w:color w:val="000000"/>
          <w:sz w:val="24"/>
          <w:szCs w:val="24"/>
          <w:rtl/>
        </w:rPr>
        <w:t>התנהגות הנאשמים מהוה זלזול בחובתם החוקית ובחובתם המוסרית לדאוג למימוש זכות ילדם לחינוך והשכלה במסגרת חינוכית</w:t>
      </w:r>
      <w:r w:rsidRPr="00A35E65">
        <w:rPr>
          <w:rFonts w:ascii="David" w:eastAsia="David" w:hAnsi="David" w:cs="David"/>
          <w:sz w:val="24"/>
          <w:szCs w:val="24"/>
          <w:rtl/>
        </w:rPr>
        <w:t xml:space="preserve"> .</w:t>
      </w:r>
    </w:p>
    <w:p w:rsidR="00A35E65" w:rsidRPr="00A35E65" w:rsidRDefault="00A35E65" w:rsidP="00A35E65">
      <w:pPr>
        <w:spacing w:before="240" w:line="360" w:lineRule="auto"/>
        <w:contextualSpacing/>
        <w:jc w:val="both"/>
        <w:rPr>
          <w:rFonts w:ascii="David" w:eastAsia="Calibri" w:hAnsi="David" w:cs="David"/>
          <w:bCs/>
          <w:sz w:val="26"/>
          <w:szCs w:val="26"/>
          <w:rtl/>
        </w:rPr>
      </w:pPr>
    </w:p>
    <w:p w:rsidR="00A35E65" w:rsidRPr="00A35E65" w:rsidRDefault="00A35E65" w:rsidP="00A35E65">
      <w:pPr>
        <w:spacing w:before="240" w:line="360" w:lineRule="auto"/>
        <w:contextualSpacing/>
        <w:jc w:val="both"/>
        <w:rPr>
          <w:rFonts w:ascii="David" w:eastAsia="Times New Roman" w:hAnsi="David" w:cs="David"/>
          <w:b/>
          <w:bCs/>
          <w:sz w:val="26"/>
          <w:szCs w:val="26"/>
          <w:rtl/>
        </w:rPr>
      </w:pPr>
      <w:r w:rsidRPr="00A35E65">
        <w:rPr>
          <w:rFonts w:ascii="David" w:eastAsia="Calibri" w:hAnsi="David" w:cs="David"/>
          <w:bCs/>
          <w:sz w:val="26"/>
          <w:szCs w:val="26"/>
          <w:rtl/>
        </w:rPr>
        <w:t>הזכות לחינוך</w:t>
      </w:r>
    </w:p>
    <w:p w:rsidR="00A35E65" w:rsidRPr="00A35E65" w:rsidRDefault="00A35E65" w:rsidP="00A35E65">
      <w:pPr>
        <w:spacing w:before="240" w:after="0" w:line="360" w:lineRule="auto"/>
        <w:jc w:val="both"/>
        <w:rPr>
          <w:rFonts w:ascii="David" w:eastAsia="Times New Roman" w:hAnsi="David" w:cs="David"/>
          <w:b/>
          <w:bCs/>
          <w:color w:val="000000"/>
          <w:sz w:val="24"/>
          <w:szCs w:val="24"/>
        </w:rPr>
      </w:pPr>
      <w:r w:rsidRPr="00A35E65">
        <w:rPr>
          <w:rFonts w:ascii="David" w:eastAsia="Times New Roman" w:hAnsi="David" w:cs="David"/>
          <w:b/>
          <w:bCs/>
          <w:color w:val="000000"/>
          <w:sz w:val="24"/>
          <w:szCs w:val="24"/>
          <w:rtl/>
        </w:rPr>
        <w:t xml:space="preserve">בפרשת רובינשטיין נקבע כדלקמן: </w:t>
      </w:r>
    </w:p>
    <w:p w:rsidR="00A35E65" w:rsidRPr="00A35E65" w:rsidRDefault="00A35E65" w:rsidP="00A35E65">
      <w:pPr>
        <w:spacing w:after="0" w:line="360" w:lineRule="auto"/>
        <w:jc w:val="both"/>
        <w:rPr>
          <w:rFonts w:ascii="Times New Roman" w:eastAsia="Times New Roman" w:hAnsi="Times New Roman" w:cs="David"/>
          <w:noProof/>
          <w:rtl/>
        </w:rPr>
      </w:pPr>
      <w:r w:rsidRPr="00A35E65">
        <w:rPr>
          <w:rFonts w:ascii="Times New Roman" w:eastAsia="Times New Roman" w:hAnsi="Times New Roman" w:cs="David"/>
          <w:noProof/>
          <w:sz w:val="24"/>
          <w:szCs w:val="24"/>
          <w:rtl/>
        </w:rPr>
        <w:t>"הזכות לחינוך, הנטועה עמוק בערכי היהדות ובמורשת ישראל, היא מהזכויות החשובות לפרט ולחברה, הוכרה כאחת הזכויות הבסיסיות של האדם עוד משחר ימי המדינה כשהובטחה במגילת העצמאות, כמו גם בחוקים שונים והוכרה "</w:t>
      </w:r>
      <w:r w:rsidRPr="00A35E65">
        <w:rPr>
          <w:rFonts w:ascii="Times New Roman" w:eastAsia="Times New Roman" w:hAnsi="Times New Roman" w:cs="David"/>
          <w:b/>
          <w:bCs/>
          <w:noProof/>
          <w:sz w:val="24"/>
          <w:szCs w:val="24"/>
          <w:rtl/>
        </w:rPr>
        <w:t xml:space="preserve"> כזכות יסוד המוקנית לכל אדם</w:t>
      </w:r>
      <w:r w:rsidRPr="00A35E65">
        <w:rPr>
          <w:rFonts w:ascii="Times New Roman" w:eastAsia="Times New Roman" w:hAnsi="Times New Roman" w:cs="David"/>
          <w:noProof/>
          <w:sz w:val="24"/>
          <w:szCs w:val="24"/>
          <w:rtl/>
        </w:rPr>
        <w:t>" [</w:t>
      </w:r>
      <w:r w:rsidRPr="00A35E65">
        <w:rPr>
          <w:rFonts w:ascii="Times New Roman" w:eastAsia="Times New Roman" w:hAnsi="Times New Roman" w:cs="David"/>
          <w:noProof/>
          <w:rtl/>
        </w:rPr>
        <w:t xml:space="preserve">ראו סעיפים 29, 31 ו-37 לפסק דינה של כב' הש' ארבל  (17.9.14) ].  </w:t>
      </w:r>
    </w:p>
    <w:p w:rsidR="00A35E65" w:rsidRPr="00A35E65" w:rsidRDefault="00A35E65" w:rsidP="00A35E65">
      <w:pPr>
        <w:spacing w:after="0" w:line="360" w:lineRule="auto"/>
        <w:jc w:val="both"/>
        <w:rPr>
          <w:rFonts w:ascii="Times New Roman" w:eastAsia="Times New Roman" w:hAnsi="Times New Roman" w:cs="David"/>
          <w:noProof/>
          <w:sz w:val="24"/>
          <w:szCs w:val="24"/>
          <w:rtl/>
        </w:rPr>
      </w:pPr>
    </w:p>
    <w:p w:rsidR="00A35E65" w:rsidRPr="00A35E65" w:rsidRDefault="00A35E65" w:rsidP="00A35E65">
      <w:pPr>
        <w:spacing w:after="0" w:line="360" w:lineRule="auto"/>
        <w:jc w:val="both"/>
        <w:rPr>
          <w:rFonts w:ascii="Times New Roman" w:eastAsia="Times New Roman" w:hAnsi="Times New Roman" w:cs="David"/>
          <w:noProof/>
          <w:sz w:val="24"/>
          <w:szCs w:val="24"/>
          <w:rtl/>
        </w:rPr>
      </w:pPr>
      <w:r w:rsidRPr="00A35E65">
        <w:rPr>
          <w:rFonts w:ascii="Times New Roman" w:eastAsia="Times New Roman" w:hAnsi="Times New Roman" w:cs="David"/>
          <w:b/>
          <w:bCs/>
          <w:noProof/>
          <w:sz w:val="24"/>
          <w:szCs w:val="24"/>
          <w:rtl/>
        </w:rPr>
        <w:t>זכות זו היא זכותו של הילד</w:t>
      </w:r>
      <w:r w:rsidRPr="00A35E65">
        <w:rPr>
          <w:rFonts w:ascii="Times New Roman" w:eastAsia="Times New Roman" w:hAnsi="Times New Roman" w:cs="David"/>
          <w:noProof/>
          <w:sz w:val="24"/>
          <w:szCs w:val="24"/>
          <w:rtl/>
        </w:rPr>
        <w:t>, כאשר "</w:t>
      </w:r>
      <w:r w:rsidRPr="00A35E65">
        <w:rPr>
          <w:rFonts w:ascii="Times New Roman" w:eastAsia="Times New Roman" w:hAnsi="Times New Roman" w:cs="David"/>
          <w:b/>
          <w:bCs/>
          <w:noProof/>
          <w:sz w:val="24"/>
          <w:szCs w:val="24"/>
          <w:rtl/>
        </w:rPr>
        <w:t>ממול הפן של הזכות שבה עומדת חובתו של הפרט</w:t>
      </w: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 xml:space="preserve"> למימוש </w:t>
      </w:r>
      <w:r w:rsidRPr="00A35E65">
        <w:rPr>
          <w:rFonts w:ascii="David" w:eastAsia="Times New Roman" w:hAnsi="David" w:cs="David"/>
          <w:b/>
          <w:bCs/>
          <w:noProof/>
          <w:sz w:val="24"/>
          <w:szCs w:val="24"/>
          <w:rtl/>
        </w:rPr>
        <w:t>הזכות</w:t>
      </w:r>
      <w:r w:rsidRPr="00A35E65">
        <w:rPr>
          <w:rFonts w:ascii="David" w:eastAsia="Times New Roman" w:hAnsi="David" w:cs="David"/>
          <w:noProof/>
          <w:sz w:val="24"/>
          <w:szCs w:val="24"/>
          <w:rtl/>
        </w:rPr>
        <w:t xml:space="preserve">". משכך אף נקבע כי </w:t>
      </w:r>
      <w:r w:rsidRPr="00A35E65">
        <w:rPr>
          <w:rFonts w:ascii="David" w:eastAsia="Times New Roman" w:hAnsi="David" w:cs="David"/>
          <w:noProof/>
          <w:sz w:val="24"/>
          <w:szCs w:val="24"/>
          <w:u w:val="single"/>
          <w:rtl/>
        </w:rPr>
        <w:t>החינוך הוא חובה</w:t>
      </w:r>
      <w:r w:rsidRPr="00A35E65">
        <w:rPr>
          <w:rFonts w:ascii="David" w:eastAsia="Times New Roman" w:hAnsi="David" w:cs="David"/>
          <w:noProof/>
          <w:sz w:val="24"/>
          <w:szCs w:val="24"/>
          <w:rtl/>
        </w:rPr>
        <w:t xml:space="preserve"> [</w:t>
      </w:r>
      <w:r w:rsidRPr="00A35E65">
        <w:rPr>
          <w:rFonts w:ascii="David" w:eastAsia="Times New Roman" w:hAnsi="David" w:cs="David"/>
          <w:noProof/>
          <w:rtl/>
        </w:rPr>
        <w:t xml:space="preserve">ראו סעיפים 10, 29 ו-30 לפסק דינה של כב' הש' ארבל בפרשת </w:t>
      </w:r>
      <w:r w:rsidRPr="00A35E65">
        <w:rPr>
          <w:rFonts w:ascii="David" w:eastAsia="Times New Roman" w:hAnsi="David" w:cs="David"/>
          <w:b/>
          <w:bCs/>
          <w:noProof/>
          <w:rtl/>
        </w:rPr>
        <w:t>רובינשטיין</w:t>
      </w:r>
      <w:r w:rsidRPr="00A35E65">
        <w:rPr>
          <w:rFonts w:ascii="David" w:eastAsia="Times New Roman" w:hAnsi="David" w:cs="David"/>
          <w:b/>
          <w:bCs/>
          <w:noProof/>
          <w:sz w:val="20"/>
          <w:szCs w:val="20"/>
          <w:rtl/>
        </w:rPr>
        <w:t xml:space="preserve"> </w:t>
      </w:r>
      <w:r w:rsidRPr="00A35E65">
        <w:rPr>
          <w:rFonts w:ascii="David" w:eastAsia="Times New Roman" w:hAnsi="David" w:cs="David"/>
          <w:noProof/>
          <w:rtl/>
        </w:rPr>
        <w:t>וסעיפים 2, 3, 4 ו-7 ל</w:t>
      </w:r>
      <w:r w:rsidRPr="00A35E65">
        <w:rPr>
          <w:rFonts w:ascii="David" w:eastAsia="Times New Roman" w:hAnsi="David" w:cs="David"/>
          <w:noProof/>
          <w:sz w:val="24"/>
          <w:szCs w:val="24"/>
          <w:rtl/>
        </w:rPr>
        <w:t>-</w:t>
      </w:r>
      <w:r w:rsidRPr="00A35E65">
        <w:rPr>
          <w:rFonts w:ascii="David" w:eastAsia="Times New Roman" w:hAnsi="David" w:cs="David"/>
          <w:b/>
          <w:bCs/>
          <w:noProof/>
          <w:rtl/>
        </w:rPr>
        <w:t>חוק לימוד</w:t>
      </w:r>
      <w:r w:rsidRPr="00A35E65">
        <w:rPr>
          <w:rFonts w:ascii="Times New Roman" w:eastAsia="Times New Roman" w:hAnsi="Times New Roman" w:cs="Miriam"/>
          <w:b/>
          <w:bCs/>
          <w:noProof/>
          <w:rtl/>
        </w:rPr>
        <w:t xml:space="preserve"> </w:t>
      </w:r>
      <w:r w:rsidRPr="00A35E65">
        <w:rPr>
          <w:rFonts w:ascii="David" w:eastAsia="Times New Roman" w:hAnsi="David" w:cs="David"/>
          <w:b/>
          <w:bCs/>
          <w:noProof/>
          <w:rtl/>
        </w:rPr>
        <w:t>חובה</w:t>
      </w:r>
      <w:r w:rsidRPr="00A35E65">
        <w:rPr>
          <w:rFonts w:ascii="David" w:eastAsia="Times New Roman" w:hAnsi="David" w:cs="David"/>
          <w:noProof/>
          <w:sz w:val="26"/>
          <w:szCs w:val="26"/>
          <w:rtl/>
        </w:rPr>
        <w:t>]</w:t>
      </w:r>
      <w:r w:rsidRPr="00A35E65">
        <w:rPr>
          <w:rFonts w:ascii="Times New Roman" w:eastAsia="Times New Roman" w:hAnsi="Times New Roman" w:cs="David"/>
          <w:noProof/>
          <w:sz w:val="26"/>
          <w:szCs w:val="26"/>
          <w:rtl/>
        </w:rPr>
        <w:t xml:space="preserve"> </w:t>
      </w:r>
      <w:r w:rsidRPr="00A35E65">
        <w:rPr>
          <w:rFonts w:ascii="Times New Roman" w:eastAsia="Times New Roman" w:hAnsi="Times New Roman" w:cs="David"/>
          <w:noProof/>
          <w:sz w:val="24"/>
          <w:szCs w:val="24"/>
          <w:rtl/>
        </w:rPr>
        <w:t xml:space="preserve">- </w:t>
      </w:r>
    </w:p>
    <w:p w:rsidR="00A35E65" w:rsidRPr="00A35E65" w:rsidRDefault="00A35E65" w:rsidP="00A35E65">
      <w:pPr>
        <w:spacing w:after="0" w:line="240" w:lineRule="auto"/>
        <w:ind w:left="720"/>
        <w:contextualSpacing/>
        <w:rPr>
          <w:rFonts w:ascii="David" w:eastAsia="David" w:hAnsi="David" w:cs="David"/>
          <w:sz w:val="20"/>
          <w:szCs w:val="20"/>
          <w:rtl/>
        </w:rPr>
      </w:pPr>
    </w:p>
    <w:p w:rsidR="00A35E65" w:rsidRPr="00A35E65" w:rsidRDefault="00A35E65" w:rsidP="00A35E65">
      <w:pPr>
        <w:spacing w:after="0" w:line="276" w:lineRule="auto"/>
        <w:ind w:left="1440" w:right="993"/>
        <w:jc w:val="both"/>
        <w:rPr>
          <w:rFonts w:ascii="Times New Roman" w:eastAsia="Times New Roman" w:hAnsi="Times New Roman" w:cs="David"/>
          <w:b/>
          <w:bCs/>
          <w:noProof/>
          <w:sz w:val="24"/>
          <w:szCs w:val="24"/>
          <w:rtl/>
        </w:rPr>
      </w:pP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 xml:space="preserve">הזכות לחינוך, אם כן, נושאת לצידה גם חובה, חובה המוטלת הן על המדינה, להקצות משאבים למימוש הזכות ולפקח על קיומה, </w:t>
      </w:r>
      <w:r w:rsidRPr="00A35E65">
        <w:rPr>
          <w:rFonts w:ascii="Times New Roman" w:eastAsia="Times New Roman" w:hAnsi="Times New Roman" w:cs="David"/>
          <w:b/>
          <w:bCs/>
          <w:noProof/>
          <w:sz w:val="24"/>
          <w:szCs w:val="24"/>
          <w:u w:val="single"/>
          <w:rtl/>
        </w:rPr>
        <w:t>וחובה המוטלת על הפרט, המחויב לדאוג כי ילדו ילמד באופן סדיר במוסד חינוך מוכר</w:t>
      </w:r>
      <w:r w:rsidRPr="00A35E65">
        <w:rPr>
          <w:rFonts w:ascii="Times New Roman" w:eastAsia="Times New Roman" w:hAnsi="Times New Roman" w:cs="David"/>
          <w:noProof/>
          <w:sz w:val="24"/>
          <w:szCs w:val="24"/>
          <w:rtl/>
        </w:rPr>
        <w:t xml:space="preserve">". </w:t>
      </w:r>
    </w:p>
    <w:p w:rsidR="00A35E65" w:rsidRPr="00A35E65" w:rsidRDefault="00A35E65" w:rsidP="00A35E65">
      <w:pPr>
        <w:spacing w:after="0" w:line="276" w:lineRule="auto"/>
        <w:ind w:left="1440" w:right="993"/>
        <w:jc w:val="both"/>
        <w:rPr>
          <w:rFonts w:ascii="Times New Roman" w:eastAsia="Times New Roman" w:hAnsi="Times New Roman" w:cs="David"/>
          <w:noProof/>
          <w:sz w:val="24"/>
          <w:szCs w:val="24"/>
          <w:rtl/>
        </w:rPr>
      </w:pPr>
      <w:r w:rsidRPr="00A35E65">
        <w:rPr>
          <w:rFonts w:ascii="Times New Roman" w:eastAsia="Times New Roman" w:hAnsi="Times New Roman" w:cs="David"/>
          <w:noProof/>
          <w:sz w:val="24"/>
          <w:szCs w:val="24"/>
          <w:rtl/>
        </w:rPr>
        <w:t>ודוק "</w:t>
      </w:r>
      <w:r w:rsidRPr="00A35E65">
        <w:rPr>
          <w:rFonts w:ascii="Times New Roman" w:eastAsia="Times New Roman" w:hAnsi="Times New Roman" w:cs="David"/>
          <w:b/>
          <w:bCs/>
          <w:noProof/>
          <w:sz w:val="24"/>
          <w:szCs w:val="24"/>
          <w:rtl/>
        </w:rPr>
        <w:t>החובה הכפולה המוטלת, הן על הפרט והן על המדינה, חלה על כל ילד בגיל חינוך חובה, המוגדר כיום בחוק מגיל 3 עד גיל 17</w:t>
      </w:r>
      <w:r w:rsidRPr="00A35E65">
        <w:rPr>
          <w:rFonts w:ascii="Times New Roman" w:eastAsia="Times New Roman" w:hAnsi="Times New Roman" w:cs="David"/>
          <w:noProof/>
          <w:sz w:val="24"/>
          <w:szCs w:val="24"/>
          <w:rtl/>
        </w:rPr>
        <w:t xml:space="preserve">, ...". </w:t>
      </w:r>
    </w:p>
    <w:p w:rsidR="00A35E65" w:rsidRPr="00A35E65" w:rsidRDefault="00A35E65" w:rsidP="00A35E65">
      <w:pPr>
        <w:spacing w:after="0" w:line="360" w:lineRule="auto"/>
        <w:ind w:left="720"/>
        <w:contextualSpacing/>
        <w:jc w:val="both"/>
        <w:rPr>
          <w:rFonts w:ascii="David" w:eastAsia="David" w:hAnsi="David" w:cs="David"/>
          <w:sz w:val="24"/>
          <w:szCs w:val="24"/>
        </w:rPr>
      </w:pPr>
    </w:p>
    <w:p w:rsidR="00A35E65" w:rsidRPr="00A35E65" w:rsidRDefault="00A35E65" w:rsidP="00A35E65">
      <w:pPr>
        <w:spacing w:after="0" w:line="360" w:lineRule="auto"/>
        <w:ind w:left="425"/>
        <w:jc w:val="both"/>
        <w:rPr>
          <w:rFonts w:ascii="David" w:eastAsia="Times New Roman" w:hAnsi="David" w:cs="David"/>
          <w:noProof/>
          <w:rtl/>
        </w:rPr>
      </w:pP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המסקנה לפיה הזכות לקבל חינוך נכללת במושג כבוד האדם המעוגן בחוק היסוד אינה משמיעה כי כל היקפה של הזכות על כלל היבטיה מוגנת חוקתית</w:t>
      </w:r>
      <w:r w:rsidRPr="00A35E65">
        <w:rPr>
          <w:rFonts w:ascii="Times New Roman" w:eastAsia="Times New Roman" w:hAnsi="Times New Roman" w:cs="David"/>
          <w:noProof/>
          <w:sz w:val="24"/>
          <w:szCs w:val="24"/>
          <w:rtl/>
        </w:rPr>
        <w:t xml:space="preserve">" (סעיף 41 לפסק דינה של כב' הש' ארבל </w:t>
      </w:r>
      <w:r w:rsidRPr="00A35E65">
        <w:rPr>
          <w:rFonts w:ascii="David" w:eastAsia="Times New Roman" w:hAnsi="David" w:cs="David"/>
          <w:noProof/>
          <w:sz w:val="24"/>
          <w:szCs w:val="24"/>
          <w:rtl/>
        </w:rPr>
        <w:t>בפרשת</w:t>
      </w:r>
      <w:r w:rsidRPr="00A35E65">
        <w:rPr>
          <w:rFonts w:ascii="David" w:eastAsia="Times New Roman" w:hAnsi="David" w:cs="David"/>
          <w:b/>
          <w:bCs/>
          <w:noProof/>
          <w:sz w:val="24"/>
          <w:rtl/>
        </w:rPr>
        <w:t xml:space="preserve"> רובינשטיין</w:t>
      </w:r>
      <w:r w:rsidRPr="00A35E65">
        <w:rPr>
          <w:rFonts w:ascii="Times New Roman" w:eastAsia="Times New Roman" w:hAnsi="Times New Roman" w:cs="David"/>
          <w:noProof/>
          <w:sz w:val="24"/>
          <w:szCs w:val="24"/>
          <w:rtl/>
        </w:rPr>
        <w:t xml:space="preserve">). לעיתים היבטיה השונים של הזכות לחינוך מתנגשים אלו באלו ונוצר מתח בין זכות הילד לחינוך לבין זכות הוריו לתת לילדם חינוך </w:t>
      </w:r>
      <w:r w:rsidRPr="00A35E65">
        <w:rPr>
          <w:rFonts w:ascii="David" w:eastAsia="Times New Roman" w:hAnsi="David" w:cs="David"/>
          <w:noProof/>
          <w:sz w:val="24"/>
          <w:szCs w:val="24"/>
          <w:rtl/>
        </w:rPr>
        <w:t xml:space="preserve">התואם השקפת עולמם. עמדה על כך כב' הש' פרוקצ'יה בפסקה 55 לפסק דינה ב-בג"ץ 4805/07 </w:t>
      </w:r>
      <w:r w:rsidRPr="00A35E65">
        <w:rPr>
          <w:rFonts w:ascii="David" w:eastAsia="Times New Roman" w:hAnsi="David" w:cs="David"/>
          <w:b/>
          <w:bCs/>
          <w:noProof/>
          <w:sz w:val="24"/>
          <w:rtl/>
        </w:rPr>
        <w:t xml:space="preserve">המרכז </w:t>
      </w:r>
      <w:r w:rsidRPr="00A35E65">
        <w:rPr>
          <w:rFonts w:ascii="David" w:eastAsia="Times New Roman" w:hAnsi="David" w:cs="David"/>
          <w:b/>
          <w:bCs/>
          <w:noProof/>
          <w:sz w:val="24"/>
          <w:rtl/>
        </w:rPr>
        <w:lastRenderedPageBreak/>
        <w:t>לפלורליזם יהודי - התנועה ליהדות מתקדמת בישראל נ' משרד החינוך</w:t>
      </w:r>
      <w:r w:rsidRPr="00A35E65">
        <w:rPr>
          <w:rFonts w:ascii="David" w:eastAsia="Times New Roman" w:hAnsi="David" w:cs="David"/>
          <w:noProof/>
          <w:sz w:val="24"/>
          <w:szCs w:val="24"/>
          <w:rtl/>
        </w:rPr>
        <w:t>, פ"ד סב(4) 571 (</w:t>
      </w:r>
      <w:r w:rsidRPr="00A35E65">
        <w:rPr>
          <w:rFonts w:ascii="David" w:eastAsia="Times New Roman" w:hAnsi="David" w:cs="David"/>
          <w:noProof/>
          <w:rtl/>
        </w:rPr>
        <w:t xml:space="preserve">ההדגשות לא במקור – ר.ש ) - </w:t>
      </w:r>
    </w:p>
    <w:p w:rsidR="00A35E65" w:rsidRPr="00A35E65" w:rsidRDefault="00A35E65" w:rsidP="00A35E65">
      <w:pPr>
        <w:spacing w:after="0" w:line="240" w:lineRule="auto"/>
        <w:ind w:left="1440" w:right="993"/>
        <w:jc w:val="both"/>
        <w:rPr>
          <w:rFonts w:ascii="Times New Roman" w:eastAsia="Times New Roman" w:hAnsi="Times New Roman" w:cs="David"/>
          <w:noProof/>
          <w:sz w:val="20"/>
          <w:szCs w:val="20"/>
        </w:rPr>
      </w:pPr>
    </w:p>
    <w:p w:rsidR="00A35E65" w:rsidRPr="00A35E65" w:rsidRDefault="00A35E65" w:rsidP="00A35E65">
      <w:pPr>
        <w:spacing w:after="0" w:line="276" w:lineRule="auto"/>
        <w:ind w:left="1440" w:right="993"/>
        <w:jc w:val="both"/>
        <w:rPr>
          <w:rFonts w:ascii="Times New Roman" w:eastAsia="Times New Roman" w:hAnsi="Times New Roman" w:cs="David"/>
          <w:noProof/>
          <w:sz w:val="24"/>
          <w:szCs w:val="24"/>
          <w:rtl/>
        </w:rPr>
      </w:pP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עשוי להיווצר מתח טבעי בין זכות ההורים להקנות לילדם חינוך לפי השקפת עולמם, לבין חובת המדינה לאכוף לימוד חובה ולהבטיח הקניית ערכי השכלה בסיסיים לכל ילד בישראל בכל מיגזר אוכלוסיה שהוא</w:t>
      </w: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 xml:space="preserve"> מתח זה, מתקשר למתח כללי יותר הקיים במשפט, בין זכויות וחובות ההורים כלפי ילדיהם, לבין חובת המדינה להבטיח את טובת הילד, וזכויותיו</w:t>
      </w:r>
      <w:r w:rsidRPr="00A35E65">
        <w:rPr>
          <w:rFonts w:ascii="Times New Roman" w:eastAsia="Times New Roman" w:hAnsi="Times New Roman" w:cs="David"/>
          <w:noProof/>
          <w:sz w:val="24"/>
          <w:szCs w:val="24"/>
          <w:rtl/>
        </w:rPr>
        <w:t>...</w:t>
      </w:r>
      <w:r w:rsidRPr="00A35E65">
        <w:rPr>
          <w:rFonts w:ascii="Times New Roman" w:eastAsia="Times New Roman" w:hAnsi="Times New Roman" w:cs="David"/>
          <w:b/>
          <w:bCs/>
          <w:noProof/>
          <w:sz w:val="24"/>
          <w:szCs w:val="24"/>
          <w:rtl/>
        </w:rPr>
        <w:t xml:space="preserve"> יש ליישב את המתח האמור בדרך של כיבוד האוטונומיה של המשפחה לבחור את קו החינוך הרצוי לילדיה, אך זאת </w:t>
      </w:r>
      <w:r w:rsidRPr="00A35E65">
        <w:rPr>
          <w:rFonts w:ascii="Times New Roman" w:eastAsia="Times New Roman" w:hAnsi="Times New Roman" w:cs="David"/>
          <w:b/>
          <w:bCs/>
          <w:noProof/>
          <w:sz w:val="24"/>
          <w:szCs w:val="24"/>
          <w:u w:val="single"/>
          <w:rtl/>
        </w:rPr>
        <w:t>תוך הכרה בסמכות המדינה, ולעיתים אף בחובתה, להתערב באוטונומיה זו לשם הגנה על טובת הילד וזכויותיו, ולהשגת תכלית חברתית כללית ביצירת מכנה משותף של ערכי חינוך בסיסיים</w:t>
      </w:r>
      <w:r w:rsidRPr="00A35E65">
        <w:rPr>
          <w:rFonts w:ascii="Times New Roman" w:eastAsia="Times New Roman" w:hAnsi="Times New Roman" w:cs="David"/>
          <w:noProof/>
          <w:sz w:val="24"/>
          <w:szCs w:val="24"/>
          <w:rtl/>
        </w:rPr>
        <w:t xml:space="preserve">,... </w:t>
      </w:r>
      <w:r w:rsidRPr="00A35E65">
        <w:rPr>
          <w:rFonts w:ascii="Times New Roman" w:eastAsia="Times New Roman" w:hAnsi="Times New Roman" w:cs="David"/>
          <w:b/>
          <w:bCs/>
          <w:noProof/>
          <w:sz w:val="24"/>
          <w:szCs w:val="24"/>
          <w:u w:val="single"/>
          <w:rtl/>
        </w:rPr>
        <w:t>בתחום החינוך, מוסמכת המדינה ואף חייבת לדאוג להקניית ערכי יסוד בחינוך לכל ילד באשר הוא</w:t>
      </w:r>
      <w:r w:rsidRPr="00A35E65">
        <w:rPr>
          <w:rFonts w:ascii="Times New Roman" w:eastAsia="Times New Roman" w:hAnsi="Times New Roman" w:cs="David"/>
          <w:b/>
          <w:bCs/>
          <w:noProof/>
          <w:sz w:val="24"/>
          <w:szCs w:val="24"/>
          <w:rtl/>
        </w:rPr>
        <w:t>, כדי להכשירו לקראת חייו הבוגרים ולאפשר לו למצות את אישיותו ואת יכולותיו בחברה. חובה זו חיונית גם לצורך עיצוב חיי חברה תקינים בראייה כוללת</w:t>
      </w:r>
      <w:r w:rsidRPr="00A35E65">
        <w:rPr>
          <w:rFonts w:ascii="Times New Roman" w:eastAsia="Times New Roman" w:hAnsi="Times New Roman" w:cs="David"/>
          <w:noProof/>
          <w:sz w:val="24"/>
          <w:szCs w:val="24"/>
          <w:rtl/>
        </w:rPr>
        <w:t>".</w:t>
      </w:r>
    </w:p>
    <w:p w:rsidR="00A35E65" w:rsidRPr="00A35E65" w:rsidRDefault="00A35E65" w:rsidP="00A35E65">
      <w:pPr>
        <w:spacing w:before="240" w:after="0" w:line="360" w:lineRule="auto"/>
        <w:jc w:val="both"/>
        <w:rPr>
          <w:rFonts w:ascii="David" w:eastAsia="Times New Roman" w:hAnsi="David" w:cs="David"/>
          <w:b/>
          <w:i/>
          <w:iCs/>
          <w:color w:val="000000"/>
          <w:sz w:val="24"/>
          <w:szCs w:val="24"/>
          <w:rtl/>
        </w:rPr>
      </w:pPr>
      <w:r w:rsidRPr="00A35E65">
        <w:rPr>
          <w:rFonts w:ascii="David" w:eastAsia="Times New Roman" w:hAnsi="David" w:cs="David"/>
          <w:b/>
          <w:bCs/>
          <w:color w:val="000000"/>
          <w:sz w:val="24"/>
          <w:szCs w:val="24"/>
          <w:u w:val="single"/>
          <w:rtl/>
        </w:rPr>
        <w:t>הזכות לחינוך היא בעיקרה ובמהותה זכותו של הילד.</w:t>
      </w:r>
      <w:r w:rsidRPr="00A35E65">
        <w:rPr>
          <w:rFonts w:ascii="David" w:eastAsia="Times New Roman" w:hAnsi="David" w:cs="David"/>
          <w:color w:val="000000"/>
          <w:sz w:val="24"/>
          <w:szCs w:val="24"/>
          <w:rtl/>
        </w:rPr>
        <w:t xml:space="preserve"> למעשה, </w:t>
      </w:r>
      <w:r w:rsidRPr="00A35E65">
        <w:rPr>
          <w:rFonts w:ascii="David" w:eastAsia="Times New Roman" w:hAnsi="David" w:cs="David"/>
          <w:sz w:val="24"/>
          <w:szCs w:val="24"/>
          <w:rtl/>
        </w:rPr>
        <w:t xml:space="preserve">זכותו של הילד לחינוך מקימה את חובת ההורה "לתת" חינוך לילד ואת זכות ההורה </w:t>
      </w:r>
      <w:r w:rsidRPr="00A35E65">
        <w:rPr>
          <w:rFonts w:ascii="David" w:eastAsia="Times New Roman" w:hAnsi="David" w:cs="David"/>
          <w:b/>
          <w:sz w:val="24"/>
          <w:szCs w:val="24"/>
          <w:rtl/>
        </w:rPr>
        <w:t>"לקבל" (מהמדינה) חינוך עבור ילדו</w:t>
      </w:r>
      <w:r w:rsidRPr="00A35E65">
        <w:rPr>
          <w:rFonts w:ascii="David" w:eastAsia="Times New Roman" w:hAnsi="David" w:cs="David"/>
          <w:sz w:val="24"/>
          <w:szCs w:val="24"/>
          <w:rtl/>
        </w:rPr>
        <w:t xml:space="preserve">. </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החקיקה הראשית בישראל פיתחה מנגנון שנועד להבטיח חינוך חובה וחינם לילדי ישראל בגילאים 3-17: סעיף 3 לחוק זכויות התלמיד מבטיח לכל ילד או נער את הזכות לחינוך; סעיף 15 לחוק הכשרות המשפטית והאפוטרופסות וסעיף 4(א) לחוק לימוד חובה מקבעים את חובת ההורה לדאוג לחינוך ילדו; </w:t>
      </w:r>
      <w:r w:rsidRPr="00A35E65">
        <w:rPr>
          <w:rFonts w:ascii="David" w:eastAsia="Times New Roman" w:hAnsi="David" w:cs="David"/>
          <w:b/>
          <w:bCs/>
          <w:color w:val="000000"/>
          <w:sz w:val="24"/>
          <w:szCs w:val="24"/>
          <w:rtl/>
        </w:rPr>
        <w:t>וסעיף (ב)4 לחוק לימוד חובה קובע את הסנקציה</w:t>
      </w:r>
      <w:r w:rsidRPr="00A35E65">
        <w:rPr>
          <w:rFonts w:ascii="David" w:eastAsia="Times New Roman" w:hAnsi="David" w:cs="David"/>
          <w:color w:val="000000"/>
          <w:sz w:val="24"/>
          <w:szCs w:val="24"/>
          <w:rtl/>
        </w:rPr>
        <w:t xml:space="preserve"> אשר תוטל על הורה שילדו לא לומד באופן סדיר במוסד חינוך מוכר. </w:t>
      </w:r>
    </w:p>
    <w:p w:rsidR="00A35E65" w:rsidRPr="00A35E65" w:rsidRDefault="00A35E65" w:rsidP="00A35E65">
      <w:pPr>
        <w:spacing w:before="240" w:after="0" w:line="360" w:lineRule="auto"/>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במילותיה של כב' השופטת ארבל ב</w:t>
      </w:r>
      <w:r w:rsidRPr="00A35E65">
        <w:rPr>
          <w:rFonts w:ascii="David" w:eastAsia="Times New Roman" w:hAnsi="David" w:cs="David"/>
          <w:sz w:val="24"/>
          <w:szCs w:val="24"/>
          <w:rtl/>
        </w:rPr>
        <w:t>פרשת רובינשטיין, פסקה 43</w:t>
      </w:r>
      <w:r w:rsidRPr="00A35E65">
        <w:rPr>
          <w:rFonts w:ascii="David" w:eastAsia="Times New Roman" w:hAnsi="David" w:cs="David"/>
          <w:color w:val="000000"/>
          <w:sz w:val="24"/>
          <w:szCs w:val="24"/>
          <w:rtl/>
        </w:rPr>
        <w:t>:</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 </w:t>
      </w:r>
      <w:r w:rsidRPr="00A35E65">
        <w:rPr>
          <w:rFonts w:ascii="David" w:eastAsia="Times New Roman" w:hAnsi="David" w:cs="David"/>
          <w:sz w:val="24"/>
          <w:szCs w:val="24"/>
          <w:rtl/>
        </w:rPr>
        <w:t>"</w:t>
      </w:r>
      <w:r w:rsidRPr="00A35E65">
        <w:rPr>
          <w:rFonts w:ascii="David" w:eastAsia="Times New Roman" w:hAnsi="David" w:cs="David"/>
          <w:b/>
          <w:bCs/>
          <w:sz w:val="24"/>
          <w:szCs w:val="24"/>
          <w:rtl/>
        </w:rPr>
        <w:t xml:space="preserve">המציאות הנורמטיבית בישראל רואה עצמה מחויבת להענקת תכני לימוד בסיסיים לכל ילד בגיל חינוך חובה, </w:t>
      </w:r>
      <w:r w:rsidRPr="00A35E65">
        <w:rPr>
          <w:rFonts w:ascii="David" w:eastAsia="Times New Roman" w:hAnsi="David" w:cs="David"/>
          <w:b/>
          <w:bCs/>
          <w:sz w:val="24"/>
          <w:szCs w:val="24"/>
          <w:u w:val="single"/>
          <w:rtl/>
        </w:rPr>
        <w:t>אף במחיר של פגיעה באוטונומיה של ההורים עד כדי הטלת חובות אקטיביות על ההורים שהפרתן גוררת סנקציות מהמישור הפלילי</w:t>
      </w:r>
      <w:r w:rsidRPr="00A35E65">
        <w:rPr>
          <w:rFonts w:ascii="David" w:eastAsia="Times New Roman" w:hAnsi="David" w:cs="David"/>
          <w:sz w:val="24"/>
          <w:szCs w:val="24"/>
          <w:rtl/>
        </w:rPr>
        <w:t>" (הדגשות לא במקור ר.ש ).</w:t>
      </w:r>
      <w:r w:rsidRPr="00A35E65">
        <w:rPr>
          <w:rFonts w:ascii="David" w:eastAsia="Times New Roman" w:hAnsi="David" w:cs="David"/>
          <w:color w:val="000000"/>
          <w:sz w:val="24"/>
          <w:szCs w:val="24"/>
          <w:rtl/>
        </w:rPr>
        <w:t xml:space="preserve">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 xml:space="preserve">כאמור, למול זכות הילד לחינוך, עומדים ההורים אשר עליהם מוטלת </w:t>
      </w:r>
      <w:r w:rsidRPr="00A35E65">
        <w:rPr>
          <w:rFonts w:ascii="David" w:eastAsia="Times New Roman" w:hAnsi="David" w:cs="David"/>
          <w:b/>
          <w:sz w:val="24"/>
          <w:szCs w:val="24"/>
          <w:u w:val="single"/>
          <w:rtl/>
        </w:rPr>
        <w:t>הזכות והחובה</w:t>
      </w:r>
      <w:r w:rsidRPr="00A35E65">
        <w:rPr>
          <w:rFonts w:ascii="David" w:eastAsia="Times New Roman" w:hAnsi="David" w:cs="David"/>
          <w:b/>
          <w:sz w:val="24"/>
          <w:szCs w:val="24"/>
          <w:rtl/>
        </w:rPr>
        <w:t xml:space="preserve"> לקיים את זכות הילד לחינוך, לצד המדינה שאף לה החובה לקיים מוסדות שיאפשרו את מימוש זכות הילד לחינוך:</w:t>
      </w:r>
    </w:p>
    <w:p w:rsidR="00A35E65" w:rsidRPr="00A35E65" w:rsidRDefault="00A35E65" w:rsidP="00A35E65">
      <w:pPr>
        <w:spacing w:before="240" w:after="0" w:line="360" w:lineRule="auto"/>
        <w:ind w:left="1418" w:right="1418"/>
        <w:jc w:val="both"/>
        <w:rPr>
          <w:rFonts w:ascii="David" w:eastAsia="Times New Roman" w:hAnsi="David" w:cs="David"/>
          <w:iCs/>
          <w:color w:val="000000"/>
          <w:sz w:val="24"/>
          <w:szCs w:val="24"/>
          <w:rtl/>
        </w:rPr>
      </w:pPr>
      <w:r w:rsidRPr="00A35E65">
        <w:rPr>
          <w:rFonts w:ascii="David" w:eastAsia="Times New Roman" w:hAnsi="David" w:cs="David"/>
          <w:iCs/>
          <w:color w:val="000000"/>
          <w:sz w:val="24"/>
          <w:szCs w:val="24"/>
          <w:rtl/>
        </w:rPr>
        <w:t>מוסיף החוק</w:t>
      </w:r>
      <w:r w:rsidRPr="00A35E65">
        <w:rPr>
          <w:rFonts w:ascii="David" w:eastAsia="Times New Roman" w:hAnsi="David" w:cs="David"/>
          <w:i/>
          <w:color w:val="000000"/>
          <w:sz w:val="24"/>
          <w:szCs w:val="24"/>
          <w:rtl/>
        </w:rPr>
        <w:t xml:space="preserve"> (קרי חוק לימוד חובה, תש"ט-1949)</w:t>
      </w:r>
      <w:r w:rsidRPr="00A35E65">
        <w:rPr>
          <w:rFonts w:ascii="David" w:eastAsia="Times New Roman" w:hAnsi="David" w:cs="David"/>
          <w:iCs/>
          <w:color w:val="000000"/>
          <w:sz w:val="24"/>
          <w:szCs w:val="24"/>
          <w:rtl/>
        </w:rPr>
        <w:t xml:space="preserve"> וקובע כי כל ילד ונער שחובת לימוד חלה עליהם... </w:t>
      </w:r>
      <w:r w:rsidRPr="00A35E65">
        <w:rPr>
          <w:rFonts w:ascii="David" w:eastAsia="Times New Roman" w:hAnsi="David" w:cs="David"/>
          <w:b/>
          <w:iCs/>
          <w:color w:val="000000"/>
          <w:sz w:val="24"/>
          <w:szCs w:val="24"/>
          <w:u w:val="single"/>
          <w:rtl/>
        </w:rPr>
        <w:t>על הורי הילד – על כל אחד מהם – הוטלה החובה לדאוג כי הילד או הנער ילמדו באופן סדיר במוסד חינוך מוכר</w:t>
      </w:r>
      <w:r w:rsidRPr="00A35E65">
        <w:rPr>
          <w:rFonts w:ascii="David" w:eastAsia="Times New Roman" w:hAnsi="David" w:cs="David"/>
          <w:b/>
          <w:iCs/>
          <w:color w:val="000000"/>
          <w:sz w:val="24"/>
          <w:szCs w:val="24"/>
          <w:rtl/>
        </w:rPr>
        <w:t xml:space="preserve"> (סעיף 4 לחוק)</w:t>
      </w:r>
      <w:r w:rsidRPr="00A35E65">
        <w:rPr>
          <w:rFonts w:ascii="David" w:eastAsia="Times New Roman" w:hAnsi="David" w:cs="David"/>
          <w:iCs/>
          <w:color w:val="000000"/>
          <w:sz w:val="24"/>
          <w:szCs w:val="24"/>
          <w:rtl/>
        </w:rPr>
        <w:t xml:space="preserve">, ואילו על המדינה ועל הרשות המקומית הוטלה – במשותף – החובה לקיים מוסדות חינוך שבהם ילמדו הילדים והנערים [...] נוסיף ונזכיר – להשלמת התמונה ולרענון זיכרונם של מי ששכחו – כי הזכות לחינוך זכות מן המעלה העליונה היא בישראל, וכך הוכרה בהלכה שוב ושוב </w:t>
      </w:r>
      <w:r w:rsidRPr="00A35E65">
        <w:rPr>
          <w:rFonts w:ascii="David" w:eastAsia="Times New Roman" w:hAnsi="David" w:cs="David"/>
          <w:iCs/>
          <w:color w:val="000000"/>
          <w:sz w:val="24"/>
          <w:szCs w:val="24"/>
          <w:rtl/>
        </w:rPr>
        <w:lastRenderedPageBreak/>
        <w:t>[...] וכן הוא דברו של החוק החרות; ראו הוראת סעיף 3 לחוק זכויות התלמיד, התשס"א-2000:</w:t>
      </w:r>
    </w:p>
    <w:p w:rsidR="00A35E65" w:rsidRPr="00A35E65" w:rsidRDefault="00A35E65" w:rsidP="00A35E65">
      <w:pPr>
        <w:spacing w:before="240" w:after="0" w:line="360" w:lineRule="auto"/>
        <w:ind w:left="1418" w:right="1418"/>
        <w:jc w:val="both"/>
        <w:rPr>
          <w:rFonts w:ascii="David" w:eastAsia="Times New Roman" w:hAnsi="David" w:cs="David"/>
          <w:b/>
          <w:iCs/>
          <w:color w:val="000000"/>
          <w:sz w:val="24"/>
          <w:szCs w:val="24"/>
          <w:rtl/>
        </w:rPr>
      </w:pPr>
      <w:r w:rsidRPr="00A35E65">
        <w:rPr>
          <w:rFonts w:ascii="David" w:eastAsia="Times New Roman" w:hAnsi="David" w:cs="David"/>
          <w:b/>
          <w:iCs/>
          <w:color w:val="008000"/>
          <w:sz w:val="24"/>
          <w:szCs w:val="24"/>
          <w:rtl/>
        </w:rPr>
        <w:t>הזכות לחינוך</w:t>
      </w:r>
      <w:r w:rsidRPr="00A35E65">
        <w:rPr>
          <w:rFonts w:ascii="David" w:eastAsia="Times New Roman" w:hAnsi="David" w:cs="David"/>
          <w:iCs/>
          <w:color w:val="000000"/>
          <w:sz w:val="24"/>
          <w:szCs w:val="24"/>
          <w:rtl/>
        </w:rPr>
        <w:t xml:space="preserve"> </w:t>
      </w:r>
      <w:r w:rsidRPr="00A35E65">
        <w:rPr>
          <w:rFonts w:ascii="David" w:eastAsia="Times New Roman" w:hAnsi="David" w:cs="David"/>
          <w:iCs/>
          <w:color w:val="000000"/>
          <w:sz w:val="24"/>
          <w:szCs w:val="24"/>
          <w:rtl/>
        </w:rPr>
        <w:tab/>
        <w:t>3. כל ילד ונער במדינת ישראל זכאי לחינוך בהתאם להוראות כל דין.</w:t>
      </w:r>
    </w:p>
    <w:p w:rsidR="00A35E65" w:rsidRPr="00A35E65" w:rsidRDefault="00A35E65" w:rsidP="00A35E65">
      <w:pPr>
        <w:spacing w:before="240" w:after="0" w:line="360" w:lineRule="auto"/>
        <w:ind w:left="1418" w:right="1418"/>
        <w:jc w:val="both"/>
        <w:rPr>
          <w:rFonts w:ascii="David" w:eastAsia="Times New Roman" w:hAnsi="David" w:cs="David"/>
          <w:b/>
          <w:color w:val="000000"/>
          <w:sz w:val="24"/>
          <w:szCs w:val="24"/>
          <w:rtl/>
        </w:rPr>
      </w:pPr>
      <w:r w:rsidRPr="00A35E65">
        <w:rPr>
          <w:rFonts w:ascii="David" w:eastAsia="Times New Roman" w:hAnsi="David" w:cs="David"/>
          <w:bCs/>
          <w:iCs/>
          <w:color w:val="000000"/>
          <w:sz w:val="24"/>
          <w:szCs w:val="24"/>
          <w:rtl/>
        </w:rPr>
        <w:t>ילדי ישראל מחזיקים אפוא בזכות מפורשת וברורה לחינוך</w:t>
      </w:r>
      <w:r w:rsidRPr="00A35E65">
        <w:rPr>
          <w:rFonts w:ascii="David" w:eastAsia="Times New Roman" w:hAnsi="David" w:cs="David"/>
          <w:iCs/>
          <w:color w:val="000000"/>
          <w:sz w:val="24"/>
          <w:szCs w:val="24"/>
          <w:rtl/>
        </w:rPr>
        <w:t>... יש אף אומרים כי הזכות לחינוך היא ממעלת זכויות החוקה [...].</w:t>
      </w:r>
      <w:r w:rsidRPr="00A35E65">
        <w:rPr>
          <w:rFonts w:ascii="David" w:eastAsia="Times New Roman" w:hAnsi="David" w:cs="David"/>
          <w:i/>
          <w:color w:val="000000"/>
          <w:sz w:val="24"/>
          <w:szCs w:val="24"/>
          <w:rtl/>
        </w:rPr>
        <w:t xml:space="preserve"> </w:t>
      </w:r>
      <w:r w:rsidRPr="00A35E65">
        <w:rPr>
          <w:rFonts w:ascii="David" w:eastAsia="Times New Roman" w:hAnsi="David" w:cs="David"/>
          <w:color w:val="000000"/>
          <w:sz w:val="24"/>
          <w:szCs w:val="24"/>
          <w:rtl/>
        </w:rPr>
        <w:t>(</w:t>
      </w:r>
      <w:hyperlink r:id="rId30" w:anchor="0" w:history="1">
        <w:r w:rsidRPr="00A35E65">
          <w:rPr>
            <w:rFonts w:ascii="David" w:eastAsia="Times New Roman" w:hAnsi="David" w:cs="David"/>
            <w:color w:val="0000FF"/>
            <w:sz w:val="24"/>
            <w:szCs w:val="24"/>
            <w:u w:val="single"/>
            <w:rtl/>
          </w:rPr>
          <w:t>בג"ץ 8046/04</w:t>
        </w:r>
      </w:hyperlink>
      <w:r w:rsidRPr="00A35E65">
        <w:rPr>
          <w:rFonts w:ascii="David" w:eastAsia="Times New Roman" w:hAnsi="David" w:cs="David"/>
          <w:color w:val="000000"/>
          <w:sz w:val="24"/>
          <w:szCs w:val="24"/>
          <w:rtl/>
        </w:rPr>
        <w:t xml:space="preserve"> בן עטיה נ' ראש עיריית בת ים ואח', פסקאות 3-5 לפסק דינו של כב' השופט חשין; הדגשות לא במקור).</w:t>
      </w:r>
    </w:p>
    <w:p w:rsidR="00A35E65" w:rsidRPr="00A35E65" w:rsidRDefault="00A35E65" w:rsidP="00A35E65">
      <w:pPr>
        <w:spacing w:before="240" w:after="0" w:line="360" w:lineRule="auto"/>
        <w:jc w:val="both"/>
        <w:rPr>
          <w:rFonts w:ascii="David" w:eastAsia="Times New Roman" w:hAnsi="David" w:cs="David"/>
          <w:b/>
          <w:color w:val="000000"/>
          <w:sz w:val="24"/>
          <w:szCs w:val="24"/>
          <w:rtl/>
        </w:rPr>
      </w:pPr>
      <w:r w:rsidRPr="00A35E65">
        <w:rPr>
          <w:rFonts w:ascii="David" w:eastAsia="Times New Roman" w:hAnsi="David" w:cs="David"/>
          <w:color w:val="000000"/>
          <w:sz w:val="24"/>
          <w:szCs w:val="24"/>
          <w:rtl/>
        </w:rPr>
        <w:t>בהמשך לאמור,</w:t>
      </w:r>
      <w:r w:rsidRPr="00A35E65">
        <w:rPr>
          <w:rFonts w:ascii="David" w:eastAsia="Times New Roman" w:hAnsi="David" w:cs="David"/>
          <w:b/>
          <w:i/>
          <w:color w:val="000000"/>
          <w:sz w:val="24"/>
          <w:szCs w:val="24"/>
          <w:rtl/>
        </w:rPr>
        <w:t xml:space="preserve"> </w:t>
      </w:r>
      <w:r w:rsidRPr="00A35E65">
        <w:rPr>
          <w:rFonts w:ascii="David" w:eastAsia="Times New Roman" w:hAnsi="David" w:cs="David"/>
          <w:sz w:val="24"/>
          <w:szCs w:val="24"/>
          <w:rtl/>
        </w:rPr>
        <w:t xml:space="preserve">סעיף 3 </w:t>
      </w:r>
      <w:hyperlink r:id="rId31" w:anchor="Seif9" w:history="1">
        <w:r w:rsidRPr="00A35E65">
          <w:rPr>
            <w:rFonts w:ascii="David" w:eastAsia="Times New Roman" w:hAnsi="David" w:cs="David"/>
            <w:color w:val="0000FF"/>
            <w:sz w:val="24"/>
            <w:szCs w:val="24"/>
            <w:u w:val="single"/>
            <w:rtl/>
          </w:rPr>
          <w:t>לחוק זכויות הילד</w:t>
        </w:r>
      </w:hyperlink>
      <w:r w:rsidRPr="00A35E65">
        <w:rPr>
          <w:rFonts w:ascii="David" w:eastAsia="Times New Roman" w:hAnsi="David" w:cs="David"/>
          <w:sz w:val="24"/>
          <w:szCs w:val="24"/>
          <w:rtl/>
        </w:rPr>
        <w:t xml:space="preserve"> מעגן את </w:t>
      </w:r>
      <w:r w:rsidRPr="00A35E65">
        <w:rPr>
          <w:rFonts w:ascii="David" w:eastAsia="Times New Roman" w:hAnsi="David" w:cs="David"/>
          <w:b/>
          <w:bCs/>
          <w:sz w:val="24"/>
          <w:szCs w:val="24"/>
          <w:rtl/>
        </w:rPr>
        <w:t>זכותם של הילדים לחינוך</w:t>
      </w:r>
      <w:r w:rsidRPr="00A35E65">
        <w:rPr>
          <w:rFonts w:ascii="David" w:eastAsia="Times New Roman" w:hAnsi="David" w:cs="David"/>
          <w:sz w:val="24"/>
          <w:szCs w:val="24"/>
          <w:rtl/>
        </w:rPr>
        <w:t>, באופן כזה שפגיעה בזכות זו תותר אך ורק בהתאם ל"</w:t>
      </w:r>
      <w:r w:rsidRPr="00A35E65">
        <w:rPr>
          <w:rFonts w:ascii="David" w:eastAsia="Times New Roman" w:hAnsi="David" w:cs="David"/>
          <w:b/>
          <w:bCs/>
          <w:sz w:val="24"/>
          <w:szCs w:val="24"/>
          <w:rtl/>
        </w:rPr>
        <w:t>הוראות כל דין</w:t>
      </w:r>
      <w:r w:rsidRPr="00A35E65">
        <w:rPr>
          <w:rFonts w:ascii="David" w:eastAsia="Times New Roman" w:hAnsi="David" w:cs="David"/>
          <w:sz w:val="24"/>
          <w:szCs w:val="24"/>
          <w:rtl/>
        </w:rPr>
        <w:t>".</w:t>
      </w:r>
      <w:r w:rsidRPr="00A35E65">
        <w:rPr>
          <w:rFonts w:ascii="David" w:eastAsia="Times New Roman" w:hAnsi="David" w:cs="David"/>
          <w:color w:val="000000"/>
          <w:sz w:val="24"/>
          <w:szCs w:val="24"/>
          <w:rtl/>
        </w:rPr>
        <w:t xml:space="preserve"> עיגון זה מבטא גם התחייבויות בינלאומיות של מדינת ישראל בקשר עם </w:t>
      </w:r>
      <w:r w:rsidRPr="00A35E65">
        <w:rPr>
          <w:rFonts w:ascii="David" w:eastAsia="Times New Roman" w:hAnsi="David" w:cs="David"/>
          <w:b/>
          <w:color w:val="000000"/>
          <w:sz w:val="24"/>
          <w:szCs w:val="24"/>
          <w:rtl/>
        </w:rPr>
        <w:t>הכרה בזכותם של ילדים לחינוך</w:t>
      </w:r>
      <w:r w:rsidRPr="00A35E65">
        <w:rPr>
          <w:rFonts w:ascii="David" w:eastAsia="Times New Roman" w:hAnsi="David" w:cs="David"/>
          <w:color w:val="000000"/>
          <w:sz w:val="24"/>
          <w:szCs w:val="24"/>
          <w:rtl/>
        </w:rPr>
        <w:t xml:space="preserve"> (</w:t>
      </w:r>
      <w:r w:rsidRPr="00A35E65">
        <w:rPr>
          <w:rFonts w:ascii="David" w:eastAsia="Times New Roman" w:hAnsi="David" w:cs="David"/>
          <w:sz w:val="24"/>
          <w:szCs w:val="24"/>
          <w:rtl/>
        </w:rPr>
        <w:t>בג"ץ המרכז לפלורליזם יהודי, פסקה 56 לפסק דינה של כב' השופטת פרוקצ'יה)</w:t>
      </w:r>
      <w:r w:rsidRPr="00A35E65">
        <w:rPr>
          <w:rFonts w:ascii="David" w:eastAsia="Times New Roman" w:hAnsi="David" w:cs="David"/>
          <w:b/>
          <w:color w:val="000000"/>
          <w:sz w:val="24"/>
          <w:szCs w:val="24"/>
          <w:rtl/>
        </w:rPr>
        <w:t xml:space="preserve">. </w:t>
      </w:r>
    </w:p>
    <w:p w:rsidR="00A35E65" w:rsidRPr="00A35E65" w:rsidRDefault="00A35E65" w:rsidP="00A35E65">
      <w:pPr>
        <w:spacing w:before="240" w:after="0" w:line="360" w:lineRule="auto"/>
        <w:jc w:val="both"/>
        <w:rPr>
          <w:rFonts w:ascii="David" w:eastAsia="Times New Roman" w:hAnsi="David" w:cs="David"/>
          <w:sz w:val="24"/>
          <w:szCs w:val="24"/>
          <w:u w:val="single"/>
        </w:rPr>
      </w:pPr>
      <w:r w:rsidRPr="00A35E65">
        <w:rPr>
          <w:rFonts w:ascii="David" w:eastAsia="Times New Roman" w:hAnsi="David" w:cs="David"/>
          <w:color w:val="000000"/>
          <w:sz w:val="24"/>
          <w:szCs w:val="24"/>
          <w:rtl/>
        </w:rPr>
        <w:t xml:space="preserve">עוד יפים לעניינינו דבריו של </w:t>
      </w:r>
      <w:r w:rsidRPr="00A35E65">
        <w:rPr>
          <w:rFonts w:ascii="David" w:eastAsia="Times New Roman" w:hAnsi="David" w:cs="David"/>
          <w:sz w:val="24"/>
          <w:szCs w:val="24"/>
          <w:rtl/>
        </w:rPr>
        <w:t>כב' השופט לוי ב</w:t>
      </w:r>
      <w:hyperlink r:id="rId32" w:history="1">
        <w:r w:rsidRPr="00A35E65">
          <w:rPr>
            <w:rFonts w:ascii="David" w:eastAsia="Times New Roman" w:hAnsi="David" w:cs="David"/>
            <w:b/>
            <w:color w:val="0000FF"/>
            <w:sz w:val="24"/>
            <w:szCs w:val="24"/>
            <w:u w:val="single"/>
            <w:rtl/>
          </w:rPr>
          <w:t>בג"ץ 1067/08 </w:t>
        </w:r>
        <w:r w:rsidRPr="00A35E65">
          <w:rPr>
            <w:rFonts w:ascii="David" w:eastAsia="Times New Roman" w:hAnsi="David" w:cs="David"/>
            <w:b/>
            <w:bCs/>
            <w:color w:val="0000FF"/>
            <w:sz w:val="24"/>
            <w:szCs w:val="24"/>
            <w:u w:val="single"/>
            <w:rtl/>
          </w:rPr>
          <w:t>עמותת "נוער כהלכה" נ' משרד החינוך</w:t>
        </w:r>
        <w:r w:rsidRPr="00A35E65">
          <w:rPr>
            <w:rFonts w:ascii="David" w:eastAsia="Times New Roman" w:hAnsi="David" w:cs="David"/>
            <w:b/>
            <w:color w:val="0000FF"/>
            <w:sz w:val="24"/>
            <w:szCs w:val="24"/>
            <w:u w:val="single"/>
          </w:rPr>
          <w:t xml:space="preserve">, </w:t>
        </w:r>
        <w:r w:rsidRPr="00A35E65">
          <w:rPr>
            <w:rFonts w:ascii="David" w:eastAsia="Times New Roman" w:hAnsi="David" w:cs="David"/>
            <w:b/>
            <w:color w:val="0000FF"/>
            <w:sz w:val="24"/>
            <w:szCs w:val="24"/>
            <w:u w:val="single"/>
            <w:rtl/>
          </w:rPr>
          <w:t>סג(2) 398 (2009)‏</w:t>
        </w:r>
      </w:hyperlink>
      <w:r w:rsidRPr="00A35E65">
        <w:rPr>
          <w:rFonts w:ascii="David" w:eastAsia="Times New Roman" w:hAnsi="David" w:cs="David"/>
          <w:b/>
          <w:color w:val="000000"/>
          <w:sz w:val="24"/>
          <w:szCs w:val="24"/>
          <w:rtl/>
        </w:rPr>
        <w:t xml:space="preserve">‏ </w:t>
      </w:r>
      <w:r w:rsidRPr="00A35E65">
        <w:rPr>
          <w:rFonts w:ascii="David" w:eastAsia="Times New Roman" w:hAnsi="David" w:cs="David"/>
          <w:sz w:val="24"/>
          <w:szCs w:val="24"/>
          <w:rtl/>
        </w:rPr>
        <w:t>(פסקה 10 לפסק דינו):</w:t>
      </w:r>
    </w:p>
    <w:p w:rsidR="00A35E65" w:rsidRPr="00A35E65" w:rsidRDefault="00A35E65" w:rsidP="00A35E65">
      <w:pPr>
        <w:spacing w:before="240" w:after="0" w:line="360" w:lineRule="auto"/>
        <w:ind w:left="1418" w:right="1418"/>
        <w:jc w:val="both"/>
        <w:rPr>
          <w:rFonts w:ascii="David" w:eastAsia="Times New Roman" w:hAnsi="David" w:cs="David"/>
          <w:b/>
          <w:i/>
          <w:iCs/>
          <w:color w:val="000000"/>
          <w:sz w:val="24"/>
          <w:szCs w:val="24"/>
          <w:rtl/>
        </w:rPr>
      </w:pPr>
      <w:r w:rsidRPr="00A35E65">
        <w:rPr>
          <w:rFonts w:ascii="David" w:eastAsia="Times New Roman" w:hAnsi="David" w:cs="David"/>
          <w:b/>
          <w:i/>
          <w:iCs/>
          <w:color w:val="000000"/>
          <w:sz w:val="24"/>
          <w:szCs w:val="24"/>
          <w:rtl/>
        </w:rPr>
        <w:t xml:space="preserve">מושכלות יסוד הם, כי במדינת ישראל </w:t>
      </w:r>
      <w:r w:rsidRPr="00A35E65">
        <w:rPr>
          <w:rFonts w:ascii="David" w:eastAsia="Times New Roman" w:hAnsi="David" w:cs="David"/>
          <w:bCs/>
          <w:i/>
          <w:iCs/>
          <w:color w:val="000000"/>
          <w:sz w:val="24"/>
          <w:szCs w:val="24"/>
          <w:rtl/>
        </w:rPr>
        <w:t>זכאים הילדים ובני הנוער לחינוך</w:t>
      </w:r>
      <w:r w:rsidRPr="00A35E65">
        <w:rPr>
          <w:rFonts w:ascii="David" w:eastAsia="Times New Roman" w:hAnsi="David" w:cs="David"/>
          <w:b/>
          <w:i/>
          <w:iCs/>
          <w:color w:val="000000"/>
          <w:sz w:val="24"/>
          <w:szCs w:val="24"/>
          <w:rtl/>
        </w:rPr>
        <w:t xml:space="preserve"> חינם, מכוח סעיף 7 לחוק לימוד חובה, התש"ט-1949 [...] בתוך כך, </w:t>
      </w:r>
      <w:r w:rsidRPr="00A35E65">
        <w:rPr>
          <w:rFonts w:ascii="David" w:eastAsia="Times New Roman" w:hAnsi="David" w:cs="David"/>
          <w:b/>
          <w:i/>
          <w:iCs/>
          <w:color w:val="000000"/>
          <w:sz w:val="24"/>
          <w:szCs w:val="24"/>
          <w:u w:val="single"/>
          <w:rtl/>
        </w:rPr>
        <w:t>חובתו של כל הורה היא לדאוג לחינוך ילדיו בהתאם לחוק לימוד חובה</w:t>
      </w:r>
      <w:r w:rsidRPr="00A35E65">
        <w:rPr>
          <w:rFonts w:ascii="David" w:eastAsia="Times New Roman" w:hAnsi="David" w:cs="David"/>
          <w:b/>
          <w:i/>
          <w:iCs/>
          <w:color w:val="000000"/>
          <w:sz w:val="24"/>
          <w:szCs w:val="24"/>
          <w:rtl/>
        </w:rPr>
        <w:t>, וחובתה של המדינה, יחד עם הרשויות המקומיות, להקצות משאבים לצורך קיום, ניהול ופיקוח על מערכת החינוך</w:t>
      </w:r>
      <w:r w:rsidRPr="00A35E65">
        <w:rPr>
          <w:rFonts w:ascii="David" w:eastAsia="Times New Roman" w:hAnsi="David" w:cs="David"/>
          <w:b/>
          <w:i/>
          <w:iCs/>
          <w:color w:val="000000"/>
          <w:sz w:val="24"/>
          <w:szCs w:val="24"/>
        </w:rPr>
        <w:t>.</w:t>
      </w:r>
      <w:r w:rsidRPr="00A35E65">
        <w:rPr>
          <w:rFonts w:ascii="David" w:eastAsia="Times New Roman" w:hAnsi="David" w:cs="David"/>
          <w:b/>
          <w:color w:val="000000"/>
          <w:sz w:val="24"/>
          <w:szCs w:val="24"/>
          <w:rtl/>
        </w:rPr>
        <w:t xml:space="preserve"> </w:t>
      </w:r>
      <w:r w:rsidRPr="00A35E65">
        <w:rPr>
          <w:rFonts w:ascii="David" w:eastAsia="Times New Roman" w:hAnsi="David" w:cs="David" w:hint="cs"/>
          <w:b/>
          <w:color w:val="000000"/>
          <w:sz w:val="24"/>
          <w:szCs w:val="24"/>
          <w:rtl/>
        </w:rPr>
        <w:t>(ראו גם את ההפניות בפסק הדין; הדגשות לא במקור)</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מכל המקובץ לעיל עולה כי </w:t>
      </w:r>
      <w:r w:rsidRPr="00A35E65">
        <w:rPr>
          <w:rFonts w:ascii="David" w:eastAsia="Times New Roman" w:hAnsi="David" w:cs="David"/>
          <w:bCs/>
          <w:sz w:val="24"/>
          <w:szCs w:val="24"/>
          <w:rtl/>
        </w:rPr>
        <w:t>זכותו של הילד לחינוך נושאת לצידה חובות: חובה המוטלת הן על המדינה</w:t>
      </w:r>
      <w:r w:rsidRPr="00A35E65">
        <w:rPr>
          <w:rFonts w:ascii="David" w:eastAsia="Times New Roman" w:hAnsi="David" w:cs="David"/>
          <w:sz w:val="24"/>
          <w:szCs w:val="24"/>
          <w:rtl/>
        </w:rPr>
        <w:t xml:space="preserve">, להקצות משאבים למימוש הזכות ולפקח על קיומה, </w:t>
      </w:r>
      <w:r w:rsidRPr="00A35E65">
        <w:rPr>
          <w:rFonts w:ascii="David" w:eastAsia="Times New Roman" w:hAnsi="David" w:cs="David"/>
          <w:bCs/>
          <w:sz w:val="24"/>
          <w:szCs w:val="24"/>
          <w:rtl/>
        </w:rPr>
        <w:t>וחובה המוטלת על ההורים</w:t>
      </w:r>
      <w:r w:rsidRPr="00A35E65">
        <w:rPr>
          <w:rFonts w:ascii="David" w:eastAsia="Times New Roman" w:hAnsi="David" w:cs="David"/>
          <w:b/>
          <w:sz w:val="24"/>
          <w:szCs w:val="24"/>
          <w:rtl/>
        </w:rPr>
        <w:t>, אשר כל אחד מהם בנפרד מחויב לדאוג כי ילדם ילמד באופן סדיר במוסד חינוך מוכר</w:t>
      </w:r>
      <w:r w:rsidRPr="00A35E65">
        <w:rPr>
          <w:rFonts w:ascii="David" w:eastAsia="Times New Roman" w:hAnsi="David" w:cs="David"/>
          <w:sz w:val="24"/>
          <w:szCs w:val="24"/>
          <w:rtl/>
        </w:rPr>
        <w:t xml:space="preserve">.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b/>
          <w:bCs/>
          <w:sz w:val="24"/>
          <w:szCs w:val="24"/>
          <w:rtl/>
        </w:rPr>
        <w:t>זכות ההורים בהקשר זה מתקיימת מול המדינה</w:t>
      </w:r>
      <w:r w:rsidRPr="00A35E65">
        <w:rPr>
          <w:rFonts w:ascii="David" w:eastAsia="Times New Roman" w:hAnsi="David" w:cs="David"/>
          <w:sz w:val="24"/>
          <w:szCs w:val="24"/>
          <w:rtl/>
        </w:rPr>
        <w:t xml:space="preserve">, וחובתם מתקיימת מול הילד והמדינה. להורים יש </w:t>
      </w:r>
      <w:r w:rsidRPr="00A35E65">
        <w:rPr>
          <w:rFonts w:ascii="David" w:eastAsia="Times New Roman" w:hAnsi="David" w:cs="David"/>
          <w:sz w:val="24"/>
          <w:szCs w:val="24"/>
          <w:u w:val="single"/>
          <w:rtl/>
        </w:rPr>
        <w:t>זכות חיובית לקבל מהמדינה</w:t>
      </w:r>
      <w:r w:rsidRPr="00A35E65">
        <w:rPr>
          <w:rFonts w:ascii="David" w:eastAsia="Times New Roman" w:hAnsi="David" w:cs="David"/>
          <w:sz w:val="24"/>
          <w:szCs w:val="24"/>
          <w:rtl/>
        </w:rPr>
        <w:t xml:space="preserve"> את האמצעים להעניק לילדם חינוך, ואת החובה הפוזיטיבית לקיים את זכות הילד לחינוך. </w:t>
      </w:r>
      <w:r w:rsidRPr="00A35E65">
        <w:rPr>
          <w:rFonts w:ascii="David" w:eastAsia="Times New Roman" w:hAnsi="David" w:cs="David"/>
          <w:b/>
          <w:bCs/>
          <w:sz w:val="24"/>
          <w:szCs w:val="24"/>
          <w:rtl/>
        </w:rPr>
        <w:t>עיקרו של סעיף 4 לחוק לימוד חובה הוא הטלת אותה החובה על הורים, וכן בקביעת הסנקציה בגין הפרת החובה</w:t>
      </w:r>
      <w:r w:rsidRPr="00A35E65">
        <w:rPr>
          <w:rFonts w:ascii="David" w:eastAsia="Times New Roman" w:hAnsi="David" w:cs="David"/>
          <w:sz w:val="24"/>
          <w:szCs w:val="24"/>
          <w:rtl/>
        </w:rPr>
        <w:t xml:space="preserve"> (פרשת רובינשטיין, פסקה 4 לפסק דינה של כב' השופטת ארבל). </w:t>
      </w:r>
    </w:p>
    <w:p w:rsidR="00A35E65" w:rsidRPr="00A35E65" w:rsidRDefault="00A35E65" w:rsidP="00A35E65">
      <w:pPr>
        <w:spacing w:before="240" w:after="0" w:line="360" w:lineRule="auto"/>
        <w:jc w:val="both"/>
        <w:rPr>
          <w:rFonts w:ascii="David" w:eastAsia="Times New Roman" w:hAnsi="David" w:cs="David"/>
          <w:bCs/>
          <w:sz w:val="24"/>
          <w:szCs w:val="24"/>
          <w:rtl/>
        </w:rPr>
      </w:pPr>
      <w:r w:rsidRPr="00A35E65">
        <w:rPr>
          <w:rFonts w:ascii="David" w:eastAsia="Times New Roman" w:hAnsi="David" w:cs="David"/>
          <w:bCs/>
          <w:sz w:val="24"/>
          <w:szCs w:val="24"/>
          <w:rtl/>
        </w:rPr>
        <w:t>בענייננו, לכל אחד הנאשמים החובה לכבד את זכותו של הקטין ולאפשר לו מימוש זכותו לחינוך בהתאם לסעיף 4 לחוק לימוד חובה.</w:t>
      </w:r>
    </w:p>
    <w:p w:rsidR="00A35E65" w:rsidRPr="00A35E65" w:rsidRDefault="00A35E65" w:rsidP="00A35E65">
      <w:pPr>
        <w:spacing w:before="240" w:after="0" w:line="360" w:lineRule="auto"/>
        <w:jc w:val="both"/>
        <w:rPr>
          <w:rFonts w:ascii="David" w:eastAsia="Times New Roman" w:hAnsi="David" w:cs="David"/>
          <w:bCs/>
          <w:sz w:val="24"/>
          <w:szCs w:val="24"/>
          <w:rtl/>
        </w:rPr>
      </w:pPr>
      <w:r w:rsidRPr="00A35E65">
        <w:rPr>
          <w:rFonts w:ascii="David" w:eastAsia="Times New Roman" w:hAnsi="David" w:cs="David"/>
          <w:bCs/>
          <w:sz w:val="24"/>
          <w:szCs w:val="24"/>
          <w:rtl/>
        </w:rPr>
        <w:t xml:space="preserve">לטענה כי חוק חינוך חובה הינו חוק ישן </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lastRenderedPageBreak/>
        <w:t xml:space="preserve">תמוה שההגנה מחד טוענת כי חוק לימוד חובה הוא חוק ישן אשר לא מותאם לעת הנוכחית, ומאידך מבקשת להתבסס על שני פסקי דין (פרשת רובינשטיין ופרשת ח'לול) שמפנים אליו כדין רלוונטי. עוד יצוין כי חוק לימוד חובה אמנם נחקק ב-1949, אך תוקן מעת לעת, כאשר התיקון האחרון נעשה בשלהי שנת 2016, באופן המבטיח את שיקוף רצון המחוקק גם בימינו (ראו גם </w:t>
      </w:r>
      <w:hyperlink r:id="rId33" w:history="1">
        <w:r w:rsidRPr="00A35E65">
          <w:rPr>
            <w:rFonts w:ascii="David" w:eastAsia="Times New Roman" w:hAnsi="David" w:cs="David"/>
            <w:b/>
            <w:color w:val="0000FF"/>
            <w:sz w:val="24"/>
            <w:szCs w:val="24"/>
            <w:u w:val="single"/>
            <w:rtl/>
          </w:rPr>
          <w:t>רע"פ 8471/20 </w:t>
        </w:r>
        <w:r w:rsidRPr="00A35E65">
          <w:rPr>
            <w:rFonts w:ascii="David" w:eastAsia="Times New Roman" w:hAnsi="David" w:cs="David"/>
            <w:b/>
            <w:bCs/>
            <w:color w:val="0000FF"/>
            <w:sz w:val="24"/>
            <w:szCs w:val="24"/>
            <w:u w:val="single"/>
            <w:rtl/>
          </w:rPr>
          <w:t>פלוני נ' עיריית נס ציונה</w:t>
        </w:r>
        <w:r w:rsidRPr="00A35E65">
          <w:rPr>
            <w:rFonts w:ascii="David" w:eastAsia="Times New Roman" w:hAnsi="David" w:cs="David"/>
            <w:b/>
            <w:color w:val="0000FF"/>
            <w:sz w:val="24"/>
            <w:szCs w:val="24"/>
            <w:u w:val="single"/>
            <w:rtl/>
          </w:rPr>
          <w:t> (נבו 01.02.2021)‏</w:t>
        </w:r>
      </w:hyperlink>
      <w:r w:rsidRPr="00A35E65">
        <w:rPr>
          <w:rFonts w:ascii="David" w:eastAsia="Times New Roman" w:hAnsi="David" w:cs="David"/>
          <w:b/>
          <w:sz w:val="24"/>
          <w:szCs w:val="24"/>
          <w:rtl/>
        </w:rPr>
        <w:t xml:space="preserve">‏ לעניין חובת ההורים למלא אחר הוראות חוק לימוד חובה). </w:t>
      </w:r>
    </w:p>
    <w:p w:rsidR="00A35E65" w:rsidRPr="00A35E65" w:rsidRDefault="00A35E65" w:rsidP="00A35E65">
      <w:pPr>
        <w:spacing w:before="240" w:line="360" w:lineRule="auto"/>
        <w:contextualSpacing/>
        <w:jc w:val="both"/>
        <w:rPr>
          <w:rFonts w:ascii="David" w:eastAsia="Times New Roman" w:hAnsi="David" w:cs="David"/>
          <w:b/>
          <w:bCs/>
          <w:color w:val="000000"/>
          <w:sz w:val="24"/>
          <w:szCs w:val="24"/>
          <w:rtl/>
        </w:rPr>
      </w:pPr>
    </w:p>
    <w:p w:rsidR="00A35E65" w:rsidRPr="00A35E65" w:rsidRDefault="00A35E65" w:rsidP="00A35E65">
      <w:pPr>
        <w:spacing w:before="240" w:line="360" w:lineRule="auto"/>
        <w:contextualSpacing/>
        <w:jc w:val="both"/>
        <w:rPr>
          <w:rFonts w:ascii="David" w:eastAsia="Times New Roman" w:hAnsi="David" w:cs="David"/>
          <w:b/>
          <w:bCs/>
          <w:color w:val="000000"/>
          <w:sz w:val="24"/>
          <w:szCs w:val="24"/>
          <w:rtl/>
        </w:rPr>
      </w:pPr>
      <w:r w:rsidRPr="00A35E65">
        <w:rPr>
          <w:rFonts w:ascii="David" w:eastAsia="Times New Roman" w:hAnsi="David" w:cs="David"/>
          <w:b/>
          <w:bCs/>
          <w:color w:val="000000"/>
          <w:sz w:val="24"/>
          <w:szCs w:val="24"/>
          <w:rtl/>
        </w:rPr>
        <w:t>מן הכלל אל הפרט</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Calibri" w:hAnsi="David" w:cs="David"/>
          <w:sz w:val="24"/>
          <w:szCs w:val="24"/>
          <w:rtl/>
        </w:rPr>
        <w:t xml:space="preserve">אכן – המשפט בישראל (ובמדינות רבות אחרות) לעיתים נוקט עמדה פטרנליסטית. אנו חיים במדינת חוק ואת החוק יש לכבד ולקיים. ב"כ הנאשמים טען כי החיים הם דינמיים, ולעיתים יש צורך בשינוי </w:t>
      </w:r>
      <w:r w:rsidRPr="00A35E65">
        <w:rPr>
          <w:rFonts w:ascii="David" w:eastAsia="Times New Roman" w:hAnsi="David" w:cs="David"/>
          <w:bCs/>
          <w:sz w:val="24"/>
          <w:szCs w:val="24"/>
          <w:rtl/>
        </w:rPr>
        <w:t>פרשנות קיימת או דין קיים</w:t>
      </w:r>
      <w:r w:rsidRPr="00A35E65">
        <w:rPr>
          <w:rFonts w:ascii="David" w:eastAsia="Times New Roman" w:hAnsi="David" w:cs="David"/>
          <w:b/>
          <w:sz w:val="24"/>
          <w:szCs w:val="24"/>
          <w:rtl/>
        </w:rPr>
        <w:t>. אך כפי שכבר נאמר, המקומות להם הסמכות לברר, לפתור ולהכריע בשינויי פרשנויות של דין קיים הם כנסת ישראל או בית המשפט העליון.</w:t>
      </w:r>
    </w:p>
    <w:p w:rsidR="00A35E65" w:rsidRPr="00A35E65" w:rsidRDefault="00A35E65" w:rsidP="00A35E65">
      <w:pPr>
        <w:spacing w:before="240" w:after="0" w:line="360" w:lineRule="auto"/>
        <w:jc w:val="both"/>
        <w:rPr>
          <w:rFonts w:ascii="David" w:eastAsia="Times New Roman" w:hAnsi="David" w:cs="David"/>
          <w:b/>
          <w:bCs/>
          <w:sz w:val="24"/>
          <w:szCs w:val="24"/>
          <w:rtl/>
        </w:rPr>
      </w:pPr>
      <w:r w:rsidRPr="00A35E65">
        <w:rPr>
          <w:rFonts w:ascii="David" w:eastAsia="Times New Roman" w:hAnsi="David" w:cs="David"/>
          <w:b/>
          <w:bCs/>
          <w:color w:val="000000"/>
          <w:sz w:val="24"/>
          <w:szCs w:val="24"/>
          <w:rtl/>
        </w:rPr>
        <w:t xml:space="preserve">לביהמ"ש אין ספק כי </w:t>
      </w:r>
      <w:r w:rsidRPr="00A35E65">
        <w:rPr>
          <w:rFonts w:ascii="David" w:eastAsia="Times New Roman" w:hAnsi="David" w:cs="David"/>
          <w:b/>
          <w:bCs/>
          <w:color w:val="000000"/>
          <w:sz w:val="24"/>
          <w:szCs w:val="24"/>
          <w:u w:val="single"/>
          <w:rtl/>
        </w:rPr>
        <w:t>הדין הקיים</w:t>
      </w:r>
      <w:r w:rsidRPr="00A35E65">
        <w:rPr>
          <w:rFonts w:ascii="David" w:eastAsia="Times New Roman" w:hAnsi="David" w:cs="David"/>
          <w:b/>
          <w:bCs/>
          <w:color w:val="000000"/>
          <w:sz w:val="24"/>
          <w:szCs w:val="24"/>
          <w:rtl/>
        </w:rPr>
        <w:t xml:space="preserve"> בישראל, שנקבע בחקיקה ראשית ובפסיקת ביהמ"ש העליון, מהווה יריעה רחבה המקנה ומתארת את </w:t>
      </w:r>
      <w:r w:rsidRPr="00A35E65">
        <w:rPr>
          <w:rFonts w:ascii="David" w:eastAsia="Times New Roman" w:hAnsi="David" w:cs="David"/>
          <w:b/>
          <w:bCs/>
          <w:color w:val="000000"/>
          <w:sz w:val="24"/>
          <w:szCs w:val="24"/>
          <w:u w:val="single"/>
          <w:rtl/>
        </w:rPr>
        <w:t>זכותו החוקתית של הילד</w:t>
      </w:r>
      <w:r w:rsidRPr="00A35E65">
        <w:rPr>
          <w:rFonts w:ascii="David" w:eastAsia="Times New Roman" w:hAnsi="David" w:cs="David"/>
          <w:b/>
          <w:bCs/>
          <w:color w:val="000000"/>
          <w:sz w:val="24"/>
          <w:szCs w:val="24"/>
          <w:rtl/>
        </w:rPr>
        <w:t xml:space="preserve"> לחינוך, את </w:t>
      </w:r>
      <w:r w:rsidRPr="00A35E65">
        <w:rPr>
          <w:rFonts w:ascii="David" w:eastAsia="Times New Roman" w:hAnsi="David" w:cs="David"/>
          <w:b/>
          <w:bCs/>
          <w:color w:val="000000"/>
          <w:sz w:val="24"/>
          <w:szCs w:val="24"/>
          <w:u w:val="single"/>
          <w:rtl/>
        </w:rPr>
        <w:t>החובה והזכות של ההורים</w:t>
      </w:r>
      <w:r w:rsidRPr="00A35E65">
        <w:rPr>
          <w:rFonts w:ascii="David" w:eastAsia="Times New Roman" w:hAnsi="David" w:cs="David"/>
          <w:b/>
          <w:bCs/>
          <w:color w:val="000000"/>
          <w:sz w:val="24"/>
          <w:szCs w:val="24"/>
          <w:rtl/>
        </w:rPr>
        <w:t xml:space="preserve"> הנובעות מתוך זכות ילדם, ואת חובת המדינה להקצות משאבים ולפעול למימוש זכות הילד לחינוך.</w:t>
      </w:r>
    </w:p>
    <w:p w:rsidR="00A35E65" w:rsidRPr="00A35E65" w:rsidRDefault="00A35E65" w:rsidP="00A35E65">
      <w:pPr>
        <w:spacing w:before="240" w:after="0" w:line="360" w:lineRule="auto"/>
        <w:jc w:val="both"/>
        <w:rPr>
          <w:rFonts w:ascii="David" w:eastAsia="Times New Roman" w:hAnsi="David" w:cs="David"/>
          <w:b/>
          <w:sz w:val="24"/>
          <w:szCs w:val="24"/>
          <w:rtl/>
        </w:rPr>
      </w:pPr>
      <w:r w:rsidRPr="00A35E65">
        <w:rPr>
          <w:rFonts w:ascii="David" w:eastAsia="Times New Roman" w:hAnsi="David" w:cs="David"/>
          <w:b/>
          <w:sz w:val="24"/>
          <w:szCs w:val="24"/>
          <w:rtl/>
        </w:rPr>
        <w:t>גם הזכות לחינוך טומנת בחובה פטרנליזם מדיני:</w:t>
      </w:r>
    </w:p>
    <w:p w:rsidR="00A35E65" w:rsidRPr="00A35E65" w:rsidRDefault="00A35E65" w:rsidP="00A35E65">
      <w:pPr>
        <w:spacing w:before="240" w:after="0" w:line="360" w:lineRule="auto"/>
        <w:ind w:left="1418" w:right="1418"/>
        <w:jc w:val="both"/>
        <w:rPr>
          <w:rFonts w:ascii="David" w:eastAsia="Times New Roman" w:hAnsi="David" w:cs="David"/>
          <w:b/>
          <w:sz w:val="24"/>
          <w:szCs w:val="24"/>
          <w:rtl/>
        </w:rPr>
      </w:pPr>
      <w:r w:rsidRPr="00A35E65">
        <w:rPr>
          <w:rFonts w:ascii="David" w:eastAsia="Times New Roman" w:hAnsi="David" w:cs="David"/>
          <w:b/>
          <w:i/>
          <w:iCs/>
          <w:sz w:val="24"/>
          <w:szCs w:val="24"/>
          <w:rtl/>
        </w:rPr>
        <w:t>"הזכות לחינוך היא זכות מורכבת. יש בה פן של זכות אדם, שכנגדה ניצבת "חובת אדם" שיש לממשה במסגרת לימוד חובה. חובת הלימוד מכוח החוק חלה הן על הפרט והן על המדינה, שעליה להקצות משאבים לקיום מערכת חינוך חינם, ולפקח על מימוש הזכות והחובה לחינוך, הלכה למעשה. נדירות הן זכויות האדם שהחוק כופה את מימושן. כזו היא הזכות לחינוך</w:t>
      </w:r>
      <w:r w:rsidRPr="00A35E65">
        <w:rPr>
          <w:rFonts w:ascii="David" w:eastAsia="Times New Roman" w:hAnsi="David" w:cs="David"/>
          <w:b/>
          <w:i/>
          <w:iCs/>
          <w:sz w:val="24"/>
          <w:szCs w:val="24"/>
        </w:rPr>
        <w:t>".</w:t>
      </w:r>
      <w:r w:rsidRPr="00A35E65">
        <w:rPr>
          <w:rFonts w:ascii="David" w:eastAsia="Times New Roman" w:hAnsi="David" w:cs="David"/>
          <w:b/>
          <w:i/>
          <w:iCs/>
          <w:sz w:val="24"/>
          <w:szCs w:val="24"/>
          <w:rtl/>
        </w:rPr>
        <w:t xml:space="preserve"> </w:t>
      </w:r>
      <w:r w:rsidRPr="00A35E65">
        <w:rPr>
          <w:rFonts w:ascii="David" w:eastAsia="Times New Roman" w:hAnsi="David" w:cs="David"/>
          <w:b/>
          <w:sz w:val="24"/>
          <w:szCs w:val="24"/>
          <w:rtl/>
        </w:rPr>
        <w:t>(פסקה 52 לפסק דינה של כב' השופטת פרוקצ'יה בבג"ץ המרכז לפלורליזם יהודי)</w:t>
      </w:r>
    </w:p>
    <w:p w:rsidR="00A35E65" w:rsidRPr="00A35E65" w:rsidRDefault="00A35E65" w:rsidP="00A35E65">
      <w:pPr>
        <w:spacing w:before="240" w:after="0" w:line="360" w:lineRule="auto"/>
        <w:jc w:val="both"/>
        <w:rPr>
          <w:rFonts w:ascii="David" w:eastAsia="Times New Roman" w:hAnsi="David" w:cs="David"/>
          <w:b/>
          <w:i/>
          <w:color w:val="000000"/>
          <w:sz w:val="24"/>
          <w:szCs w:val="24"/>
        </w:rPr>
      </w:pPr>
      <w:r w:rsidRPr="00A35E65">
        <w:rPr>
          <w:rFonts w:ascii="David" w:eastAsia="Times New Roman" w:hAnsi="David" w:cs="David"/>
          <w:b/>
          <w:i/>
          <w:color w:val="000000"/>
          <w:sz w:val="24"/>
          <w:szCs w:val="24"/>
          <w:rtl/>
        </w:rPr>
        <w:t>לפיכך, ובהתאם למכלול האמור לעיל – טענות בדבר מניעת הגעת הקטין למוסד חינוך מוכר בשם זכויות חוקתיות, אידאולוגיה, הנחות מוצא המתבססות על כתבות אלו או אחרות ועל שמועות כאלו או אחרות – לא תעמודנה  כהגנה בבית המשפט.</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כאשר ההורים מונעים מהילד את מימוש זכותו לחינוך, אל להם לדרוש מהמדינה (המאשימה) את קיום זכותם החוקתית הלכאורית הנובעת מאותו הדין.</w:t>
      </w:r>
    </w:p>
    <w:p w:rsidR="00A35E65" w:rsidRPr="00A35E65" w:rsidRDefault="00A35E65" w:rsidP="00A35E65">
      <w:pPr>
        <w:spacing w:before="240" w:after="0" w:line="360" w:lineRule="auto"/>
        <w:jc w:val="both"/>
        <w:rPr>
          <w:rFonts w:ascii="David" w:eastAsia="Times New Roman" w:hAnsi="David" w:cs="David"/>
          <w:b/>
          <w:sz w:val="24"/>
          <w:szCs w:val="24"/>
        </w:rPr>
      </w:pPr>
      <w:r w:rsidRPr="00A35E65">
        <w:rPr>
          <w:rFonts w:ascii="David" w:eastAsia="Times New Roman" w:hAnsi="David" w:cs="David"/>
          <w:sz w:val="24"/>
          <w:szCs w:val="24"/>
          <w:rtl/>
        </w:rPr>
        <w:t xml:space="preserve">ביהמ"ש מסיק שאם זכויות ההורים בקשר עם חינוך הילד נגזרות מזכות הילד (בהיקש לדברי המשנה לנשיא נאור בפרשת רובינשטיין), אזי </w:t>
      </w:r>
      <w:r w:rsidRPr="00A35E65">
        <w:rPr>
          <w:rFonts w:ascii="David" w:eastAsia="Times New Roman" w:hAnsi="David" w:cs="David"/>
          <w:bCs/>
          <w:sz w:val="24"/>
          <w:szCs w:val="24"/>
          <w:rtl/>
        </w:rPr>
        <w:t>בלעדי זכות הילד, בייחוד כאשר זו נמנעת על-ידי ההורים, לא תהא זכות קיום לזכויות ההורים</w:t>
      </w:r>
      <w:r w:rsidRPr="00A35E65">
        <w:rPr>
          <w:rFonts w:ascii="David" w:eastAsia="Times New Roman" w:hAnsi="David" w:cs="David"/>
          <w:sz w:val="24"/>
          <w:szCs w:val="24"/>
          <w:rtl/>
        </w:rPr>
        <w:t xml:space="preserve"> </w:t>
      </w:r>
      <w:r w:rsidRPr="00A35E65">
        <w:rPr>
          <w:rFonts w:ascii="David" w:eastAsia="Times New Roman" w:hAnsi="David" w:cs="David"/>
          <w:b/>
          <w:bCs/>
          <w:sz w:val="24"/>
          <w:szCs w:val="24"/>
          <w:rtl/>
        </w:rPr>
        <w:t>באותו ההקשר</w:t>
      </w:r>
      <w:r w:rsidRPr="00A35E65">
        <w:rPr>
          <w:rFonts w:ascii="David" w:eastAsia="Times New Roman" w:hAnsi="David" w:cs="David"/>
          <w:sz w:val="24"/>
          <w:szCs w:val="24"/>
          <w:rtl/>
        </w:rPr>
        <w:t>.</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במקרה דנן הקטין לא זכה לבקר בבית הספר. טענות ההורים למצב החינוך בבית ספר ניזונות משמועות ולא הוכחו כלל.</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lastRenderedPageBreak/>
        <w:t xml:space="preserve">כיצד יכולים הנאשמים להתאונן על דבר שלא חוו? שלא ניסו?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הגם שמלכתחילה מערכת החינוך בקרית מלאכי לא קיבלה הזדמנות מהנאשמים לממש את תכליתה, לחנך את בנם מרגע שזה סיים גן חובה, הנאשמים כופרים בהתאמתה וביכולתה לחנך את בנם הקטין ומפנים כלפיה האשמות ללא בסיס ראייתי כלשהו.</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הקטין לא הגיע אף ליום אחד לבית-הספר;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 xml:space="preserve">הנאשמים לא טרחו להגיש בקשה למשרד החינוך לפטור בהתאם לחוזר מנכ"ל; </w:t>
      </w:r>
    </w:p>
    <w:p w:rsidR="00A35E65" w:rsidRPr="00A35E65" w:rsidRDefault="00A35E65" w:rsidP="00A35E65">
      <w:pPr>
        <w:spacing w:before="240" w:after="0" w:line="360" w:lineRule="auto"/>
        <w:jc w:val="both"/>
        <w:rPr>
          <w:rFonts w:ascii="David" w:eastAsia="Times New Roman" w:hAnsi="David" w:cs="David"/>
          <w:sz w:val="24"/>
          <w:szCs w:val="24"/>
          <w:rtl/>
        </w:rPr>
      </w:pPr>
      <w:r w:rsidRPr="00A35E65">
        <w:rPr>
          <w:rFonts w:ascii="David" w:eastAsia="Times New Roman" w:hAnsi="David" w:cs="David"/>
          <w:sz w:val="24"/>
          <w:szCs w:val="24"/>
          <w:rtl/>
        </w:rPr>
        <w:t>הנאשמים לא הסכימו להכיר בסמכות אגף החינוך של עיריית קריית מלאכי לקיים את חובת הרשות המקומית לדאוג לזכות הקטין לחינוך, על כל המשתמע מכך;</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sz w:val="24"/>
          <w:szCs w:val="24"/>
          <w:rtl/>
        </w:rPr>
        <w:t xml:space="preserve">הנאשמים ניסו להעמיד את מערכת החינוך במדינת ישראל למשפט ודיברו בגנותה על סמך שמועות, הנחות , רכילות  שאינן ראייה קבילה.   </w:t>
      </w:r>
    </w:p>
    <w:p w:rsidR="00A35E65" w:rsidRPr="00A35E65" w:rsidRDefault="00A35E65" w:rsidP="00A35E65">
      <w:pPr>
        <w:spacing w:before="240" w:after="0" w:line="360" w:lineRule="auto"/>
        <w:jc w:val="both"/>
        <w:rPr>
          <w:rFonts w:ascii="David" w:eastAsia="Times New Roman" w:hAnsi="David" w:cs="David"/>
          <w:b/>
          <w:bCs/>
          <w:color w:val="000000"/>
          <w:sz w:val="24"/>
          <w:szCs w:val="24"/>
          <w:rtl/>
        </w:rPr>
      </w:pPr>
      <w:r w:rsidRPr="00A35E65">
        <w:rPr>
          <w:rFonts w:ascii="David" w:eastAsia="Times New Roman" w:hAnsi="David" w:cs="David"/>
          <w:b/>
          <w:bCs/>
          <w:color w:val="000000"/>
          <w:sz w:val="24"/>
          <w:szCs w:val="24"/>
          <w:rtl/>
        </w:rPr>
        <w:t xml:space="preserve">מכל המקובץ לעיל ביהמ"ש קובע כי הנאשמים ביצעו את העבירה המיוחסת להם. </w:t>
      </w:r>
    </w:p>
    <w:p w:rsidR="00A35E65" w:rsidRPr="00A35E65" w:rsidRDefault="00A35E65" w:rsidP="00A35E65">
      <w:pPr>
        <w:spacing w:before="240" w:line="360" w:lineRule="auto"/>
        <w:ind w:right="1134"/>
        <w:jc w:val="both"/>
        <w:rPr>
          <w:rFonts w:ascii="David" w:eastAsia="Times New Roman" w:hAnsi="David" w:cs="David"/>
          <w:bCs/>
          <w:color w:val="000000"/>
          <w:sz w:val="24"/>
          <w:szCs w:val="24"/>
          <w:u w:val="single"/>
          <w:rtl/>
        </w:rPr>
      </w:pPr>
      <w:r w:rsidRPr="00A35E65">
        <w:rPr>
          <w:rFonts w:ascii="David" w:eastAsia="Times New Roman" w:hAnsi="David" w:cs="David"/>
          <w:bCs/>
          <w:color w:val="000000"/>
          <w:sz w:val="24"/>
          <w:szCs w:val="24"/>
          <w:u w:val="single"/>
          <w:rtl/>
        </w:rPr>
        <w:t xml:space="preserve">האם יש תחולה להגנת זוטי דברים </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לפי הגנת זוטי דברים הקבועה בסעיף 34יז. לחוק העונשין, "לא יישא אדם באחריות פלילית למעשה, אם, לאור טיבו של המעשה, נסיבותיו, תוצאותיו והאינטרס הציבורי, המעשה הוא קל ערך".</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הגנת זוטי דברים מפרטת ארבעה תנאים מצטברים לתחולת ההגנה: </w:t>
      </w:r>
      <w:r w:rsidRPr="00A35E65">
        <w:rPr>
          <w:rFonts w:ascii="David" w:eastAsia="Times New Roman" w:hAnsi="David" w:cs="David"/>
          <w:color w:val="000000"/>
          <w:sz w:val="24"/>
          <w:szCs w:val="24"/>
          <w:rtl/>
        </w:rPr>
        <w:br/>
        <w:t xml:space="preserve">טיב המעשה, נסיבותיו, תוצאותיו והאינטרס הציבורי. בחינת המעשה לאור ארבעת התנאים תגלה האם מדובר במעשה קל ערך. </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גישה רווחת היא שלאינטרס הציבורי משקל רב מהתנאים האחרים </w:t>
      </w:r>
      <w:r w:rsidRPr="00A35E65">
        <w:rPr>
          <w:rFonts w:ascii="David" w:eastAsia="Times New Roman" w:hAnsi="David" w:cs="David"/>
          <w:color w:val="000000"/>
          <w:sz w:val="24"/>
          <w:szCs w:val="24"/>
          <w:u w:val="single"/>
          <w:rtl/>
        </w:rPr>
        <w:t>(ע"פ 7829/03 מדינת ישראל נ' אריאל הנדסת חשמל רמזורים ובקרה בע"מ</w:t>
      </w:r>
      <w:r w:rsidRPr="00A35E65">
        <w:rPr>
          <w:rFonts w:ascii="David" w:eastAsia="Times New Roman" w:hAnsi="David" w:cs="David"/>
          <w:color w:val="000000"/>
          <w:sz w:val="24"/>
          <w:szCs w:val="24"/>
          <w:rtl/>
        </w:rPr>
        <w:t>; "</w:t>
      </w:r>
      <w:r w:rsidRPr="00A35E65">
        <w:rPr>
          <w:rFonts w:ascii="David" w:eastAsia="Times New Roman" w:hAnsi="David" w:cs="David"/>
          <w:b/>
          <w:bCs/>
          <w:color w:val="000000"/>
          <w:sz w:val="24"/>
          <w:szCs w:val="24"/>
          <w:rtl/>
        </w:rPr>
        <w:t>פרשת אריאל</w:t>
      </w:r>
      <w:r w:rsidRPr="00A35E65">
        <w:rPr>
          <w:rFonts w:ascii="David" w:eastAsia="Times New Roman" w:hAnsi="David" w:cs="David"/>
          <w:color w:val="000000"/>
          <w:sz w:val="24"/>
          <w:szCs w:val="24"/>
          <w:rtl/>
        </w:rPr>
        <w:t xml:space="preserve">"). </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b/>
          <w:bCs/>
          <w:color w:val="000000"/>
          <w:sz w:val="24"/>
          <w:szCs w:val="24"/>
          <w:rtl/>
        </w:rPr>
        <w:t>יש לזכור שהכלל בדבר זוטי דברים הוא אך סייג לאחריות הפלילית, ומשכך אין הוא בבחינת הכלל אלא החריג. נדרשת מידת זהירות גם מן הטעם שמא ירוקנו מתוכן עבירות הנתפסות כ"קלות" מאחרות</w:t>
      </w:r>
      <w:r w:rsidRPr="00A35E65">
        <w:rPr>
          <w:rFonts w:ascii="David" w:eastAsia="Times New Roman" w:hAnsi="David" w:cs="David"/>
          <w:color w:val="000000"/>
          <w:sz w:val="24"/>
          <w:szCs w:val="24"/>
          <w:rtl/>
        </w:rPr>
        <w:t xml:space="preserve"> (פרשת אריאל).</w:t>
      </w:r>
    </w:p>
    <w:p w:rsidR="00A35E65" w:rsidRPr="00A35E65" w:rsidRDefault="00A35E65" w:rsidP="00A35E65">
      <w:pPr>
        <w:spacing w:before="240" w:after="0" w:line="360" w:lineRule="auto"/>
        <w:jc w:val="both"/>
        <w:rPr>
          <w:rFonts w:ascii="David" w:eastAsia="Times New Roman" w:hAnsi="David" w:cs="David"/>
          <w:color w:val="000000"/>
          <w:sz w:val="24"/>
          <w:szCs w:val="24"/>
        </w:rPr>
      </w:pPr>
      <w:r w:rsidRPr="00A35E65">
        <w:rPr>
          <w:rFonts w:ascii="David" w:eastAsia="Times New Roman" w:hAnsi="David" w:cs="David"/>
          <w:color w:val="000000"/>
          <w:sz w:val="24"/>
          <w:szCs w:val="24"/>
          <w:u w:val="single"/>
          <w:rtl/>
        </w:rPr>
        <w:t>טיב המעשה</w:t>
      </w:r>
      <w:r w:rsidRPr="00A35E65">
        <w:rPr>
          <w:rFonts w:ascii="David" w:eastAsia="Times New Roman" w:hAnsi="David" w:cs="David"/>
          <w:color w:val="000000"/>
          <w:sz w:val="24"/>
          <w:szCs w:val="24"/>
          <w:rtl/>
        </w:rPr>
        <w:t xml:space="preserve">: מניעת הגעת הקטין, בעל צרכים מיוחדים, לבית-הספר אשר שיבץ אותו לכיתה ייעודית, זאת משך למעלה משנתיים וחצי. </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u w:val="single"/>
          <w:rtl/>
        </w:rPr>
        <w:t>נסיבות ביצוע המעשה</w:t>
      </w:r>
      <w:r w:rsidRPr="00A35E65">
        <w:rPr>
          <w:rFonts w:ascii="David" w:eastAsia="Times New Roman" w:hAnsi="David" w:cs="David"/>
          <w:color w:val="000000"/>
          <w:sz w:val="24"/>
          <w:szCs w:val="24"/>
          <w:rtl/>
        </w:rPr>
        <w:t xml:space="preserve">: מניעת הגעת הקטין לבית-הספר נעשתה ונעשית באופן אקטיבי, ללא היתר כדין, ללא פיקוח וללא קיום תקשורת עם הגורמים הרלוונטיים. </w:t>
      </w: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 xml:space="preserve">היעדרותו של הקטין מתרחשת על אף מכתב ששלחה מנהלת בית הספר לנאשמים ביום 27 באוקטובר, 2021 בו דרשה מהם להשיב את הקטין לספסל הלימודים, ומכתב מיום 16 בדצמבר, 2021 מטעם המאשימה בדבר אפשרות הגשת כתב אישום בגין התנהלות זו של הנאשמים. </w:t>
      </w: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tl/>
        </w:rPr>
      </w:pP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בד בבד, הנאשמים לא טרחו להגיש בקשה למשרד החינוך לפטור אותם מהחובה המוטלת עליהם לפי חוק לימוד חובה. מדובר בהימנעות מקיומו של מאמץ מינימלי ביותר. היעדר העברת הבקשה בולט ביתר שאת על רקע החלטת כב' השופטת דולב להמן מיום 17 ביולי, 2023  בה קבעה שטוב יעשו הנאשמים אם יגישו כבר באותה עת בקשה בהתאם לחוזר מנכ"ל. בכך ניתן ביטוי לנאשמים העושים דין לעצמם ואינם חוששים ממורא החוק.</w:t>
      </w: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 xml:space="preserve"> </w:t>
      </w: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 xml:space="preserve">הקטין, בן 8.5, בעל צרכים מיוחדים, מעולם לא הגיע לבית הספר. </w:t>
      </w: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tl/>
        </w:rPr>
      </w:pPr>
    </w:p>
    <w:p w:rsidR="00A35E65" w:rsidRPr="00A35E65" w:rsidRDefault="00A35E65" w:rsidP="00A35E65">
      <w:pPr>
        <w:spacing w:before="240" w:after="0" w:line="360" w:lineRule="auto"/>
        <w:contextualSpacing/>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היות הקטין ילד עם צרכים מיוחדים וגילו הצעיר הן נסיבות מחמירות לעניין נסיבות ביצוע העבירה.</w:t>
      </w:r>
    </w:p>
    <w:p w:rsidR="00A35E65" w:rsidRPr="00A35E65" w:rsidRDefault="00A35E65" w:rsidP="00A35E65">
      <w:pPr>
        <w:spacing w:before="240" w:after="0" w:line="360" w:lineRule="auto"/>
        <w:jc w:val="both"/>
        <w:rPr>
          <w:rFonts w:ascii="David" w:eastAsia="Times New Roman" w:hAnsi="David" w:cs="David"/>
          <w:color w:val="000000"/>
          <w:sz w:val="24"/>
          <w:szCs w:val="24"/>
          <w:u w:val="single"/>
          <w:rtl/>
        </w:rPr>
      </w:pPr>
      <w:r w:rsidRPr="00A35E65">
        <w:rPr>
          <w:rFonts w:ascii="David" w:eastAsia="Times New Roman" w:hAnsi="David" w:cs="David"/>
          <w:color w:val="000000"/>
          <w:sz w:val="24"/>
          <w:szCs w:val="24"/>
          <w:u w:val="single"/>
          <w:rtl/>
        </w:rPr>
        <w:t>תוצאות המעשה:</w:t>
      </w:r>
      <w:r w:rsidRPr="00A35E65">
        <w:rPr>
          <w:rFonts w:ascii="David" w:eastAsia="Times New Roman" w:hAnsi="David" w:cs="David"/>
          <w:color w:val="000000"/>
          <w:sz w:val="24"/>
          <w:szCs w:val="24"/>
          <w:rtl/>
        </w:rPr>
        <w:t xml:space="preserve"> הלכה למעשה הקטין יושב בביתו ללא מסגרת חינוכית סדורה או מפוקחת כמעט שלוש שנים, כשליש מחייו. מדובר בהיעדרות ממושכת של הקטין, אשר במקום להגיע ליומו הראשון בכיתה א' – נותר מאז בביתו. לא ברור היקף ידיעותיו של הקטין בקריאה , כתיבה, חשבון, אנגלית? לא ברור האם נוצרו חסכים רגשיים בתקופה זו? מה עומקם? עד כמה פער זה יקשה על הנפש שלו כאשר ישוב לבית הספר? </w:t>
      </w:r>
    </w:p>
    <w:p w:rsidR="00A35E65" w:rsidRPr="00A35E65" w:rsidRDefault="00A35E65" w:rsidP="00A35E65">
      <w:pPr>
        <w:spacing w:before="240" w:after="0" w:line="276" w:lineRule="auto"/>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 xml:space="preserve">הקטין לא עבר בחינות כלשהן כדי להתאים לו תכנית קונקרטית ככל שנדרשת בהתאמה למצבו. </w:t>
      </w:r>
    </w:p>
    <w:p w:rsidR="00A35E65" w:rsidRPr="00A35E65" w:rsidRDefault="00A35E65" w:rsidP="00A35E65">
      <w:pPr>
        <w:spacing w:before="240" w:after="0" w:line="360" w:lineRule="auto"/>
        <w:jc w:val="both"/>
        <w:rPr>
          <w:rFonts w:ascii="David" w:eastAsia="Times New Roman" w:hAnsi="David" w:cs="David"/>
          <w:color w:val="000000"/>
          <w:sz w:val="24"/>
          <w:szCs w:val="24"/>
          <w:u w:val="single"/>
          <w:rtl/>
        </w:rPr>
      </w:pPr>
      <w:r w:rsidRPr="00A35E65">
        <w:rPr>
          <w:rFonts w:ascii="David" w:eastAsia="Times New Roman" w:hAnsi="David" w:cs="David"/>
          <w:color w:val="000000"/>
          <w:sz w:val="24"/>
          <w:szCs w:val="24"/>
          <w:rtl/>
        </w:rPr>
        <w:t>מהקטין נמנעה לא רק הזכות ללמוד במסגרת אשר יש בה האמצעים וכישורים המקצועיים ללמד אותו ולקדמו אלא גם הזכות לרכוש כישורים חברתיים וכלים הנדרשים להתפתחותו והשתלבותו בחברה</w:t>
      </w:r>
      <w:r w:rsidRPr="00A35E65">
        <w:rPr>
          <w:rFonts w:ascii="David" w:eastAsia="Times New Roman" w:hAnsi="David" w:cs="David"/>
          <w:color w:val="000000"/>
          <w:sz w:val="24"/>
          <w:szCs w:val="24"/>
          <w:u w:val="single"/>
          <w:rtl/>
        </w:rPr>
        <w:t>.</w:t>
      </w:r>
      <w:r w:rsidRPr="00A35E65">
        <w:rPr>
          <w:rFonts w:ascii="David" w:eastAsia="Times New Roman" w:hAnsi="David" w:cs="David"/>
          <w:color w:val="000000"/>
          <w:sz w:val="24"/>
          <w:szCs w:val="24"/>
          <w:rtl/>
        </w:rPr>
        <w:t xml:space="preserve"> הקטין גדל במהלך השלוש שנים האחרונות ללא מעקב מצד כל גורם חינוכי או מהרווחה על מצבו הנפשי והלימודי</w:t>
      </w:r>
      <w:r w:rsidRPr="00A35E65">
        <w:rPr>
          <w:rFonts w:ascii="David" w:eastAsia="Times New Roman" w:hAnsi="David" w:cs="David"/>
          <w:color w:val="000000"/>
          <w:sz w:val="24"/>
          <w:szCs w:val="24"/>
          <w:u w:val="single"/>
          <w:rtl/>
        </w:rPr>
        <w:t>.</w:t>
      </w:r>
    </w:p>
    <w:p w:rsidR="00A35E65" w:rsidRPr="00A35E65" w:rsidRDefault="00A35E65" w:rsidP="00A35E65">
      <w:pPr>
        <w:spacing w:before="240" w:after="0" w:line="360" w:lineRule="auto"/>
        <w:jc w:val="both"/>
        <w:rPr>
          <w:rFonts w:ascii="David" w:eastAsia="Calibri" w:hAnsi="David" w:cs="David"/>
          <w:color w:val="000000"/>
          <w:sz w:val="24"/>
          <w:szCs w:val="24"/>
          <w:rtl/>
        </w:rPr>
      </w:pPr>
      <w:r w:rsidRPr="00A35E65">
        <w:rPr>
          <w:rFonts w:ascii="David" w:eastAsia="Calibri" w:hAnsi="David" w:cs="David"/>
          <w:color w:val="000000"/>
          <w:sz w:val="24"/>
          <w:szCs w:val="24"/>
          <w:rtl/>
        </w:rPr>
        <w:t xml:space="preserve">ב"כ הנאשמים התייחס בסיכומיו לכך שאין צורך בהתערבות המדינה לשם הגנה מפני סיכון רחוק ועמום לפגיעה בטובת הילד, ללא קיומה בפועל של ראייה להתממשות הפגיעה. </w:t>
      </w:r>
    </w:p>
    <w:p w:rsidR="00A35E65" w:rsidRPr="00A35E65" w:rsidRDefault="00A35E65" w:rsidP="00A35E65">
      <w:pPr>
        <w:spacing w:before="240" w:after="0" w:line="360" w:lineRule="auto"/>
        <w:jc w:val="both"/>
        <w:rPr>
          <w:rFonts w:ascii="David" w:eastAsia="Calibri" w:hAnsi="David" w:cs="David"/>
          <w:color w:val="000000"/>
          <w:sz w:val="24"/>
          <w:szCs w:val="24"/>
          <w:rtl/>
        </w:rPr>
      </w:pPr>
      <w:r w:rsidRPr="00A35E65">
        <w:rPr>
          <w:rFonts w:ascii="David" w:eastAsia="Calibri" w:hAnsi="David" w:cs="David"/>
          <w:color w:val="000000"/>
          <w:sz w:val="24"/>
          <w:szCs w:val="24"/>
          <w:rtl/>
        </w:rPr>
        <w:t xml:space="preserve">לאור נסיבות ביצוע העבירה והתמשכות העבירה על פני שנים נוצרו פערים, שלא קל לגשר עליהם במיוחד כשעסקנן בקטין עם צרכים מיוחדים. בהתנהגותם הנאשמים גרמו נזק לקטין כאשר מנעו ממנו להשתלב במסגרת חינוכית מוסדרת, שתספק לו חינוך בהתאמה ליכולתו ומגבלותיו.  ככל  שהקטין ימשיך להיעדר מבית הספר שלא כדין, ויוותר בחינוך ביתי לא מפוקח בניגוד לדין, הפערים והנזקים עשויים לגדול והנזק יהיה בלתי הפיך. </w:t>
      </w:r>
    </w:p>
    <w:p w:rsidR="00A35E65" w:rsidRPr="00A35E65" w:rsidRDefault="00A35E65" w:rsidP="00A35E65">
      <w:pPr>
        <w:spacing w:before="240" w:after="0" w:line="360" w:lineRule="auto"/>
        <w:jc w:val="both"/>
        <w:rPr>
          <w:rFonts w:ascii="David" w:eastAsia="Times New Roman" w:hAnsi="David" w:cs="David"/>
          <w:color w:val="000000"/>
          <w:sz w:val="24"/>
          <w:szCs w:val="24"/>
          <w:u w:val="single"/>
          <w:rtl/>
        </w:rPr>
      </w:pPr>
      <w:r w:rsidRPr="00A35E65">
        <w:rPr>
          <w:rFonts w:ascii="David" w:eastAsia="Times New Roman" w:hAnsi="David" w:cs="David"/>
          <w:color w:val="000000"/>
          <w:sz w:val="24"/>
          <w:szCs w:val="24"/>
          <w:u w:val="single"/>
          <w:rtl/>
        </w:rPr>
        <w:t>האינטרס הציבורי</w:t>
      </w:r>
      <w:r w:rsidRPr="00A35E65">
        <w:rPr>
          <w:rFonts w:ascii="David" w:eastAsia="Times New Roman" w:hAnsi="David" w:cs="David"/>
          <w:color w:val="000000"/>
          <w:sz w:val="24"/>
          <w:szCs w:val="24"/>
          <w:rtl/>
        </w:rPr>
        <w:t>:</w:t>
      </w:r>
      <w:r w:rsidRPr="00A35E65">
        <w:rPr>
          <w:rFonts w:ascii="David" w:eastAsia="Times New Roman" w:hAnsi="David" w:cs="David"/>
          <w:color w:val="000000"/>
          <w:sz w:val="24"/>
          <w:szCs w:val="24"/>
          <w:u w:val="single"/>
          <w:rtl/>
        </w:rPr>
        <w:t xml:space="preserve"> </w:t>
      </w:r>
    </w:p>
    <w:p w:rsidR="00A35E65" w:rsidRPr="00A35E65" w:rsidRDefault="00A35E65" w:rsidP="00A35E65">
      <w:pPr>
        <w:spacing w:before="240" w:after="0" w:line="360" w:lineRule="auto"/>
        <w:jc w:val="both"/>
        <w:rPr>
          <w:rFonts w:ascii="David" w:eastAsia="Times New Roman" w:hAnsi="David" w:cs="David"/>
          <w:color w:val="000000"/>
          <w:sz w:val="24"/>
          <w:szCs w:val="24"/>
        </w:rPr>
      </w:pPr>
      <w:r w:rsidRPr="00A35E65">
        <w:rPr>
          <w:rFonts w:ascii="David" w:eastAsia="Times New Roman" w:hAnsi="David" w:cs="David"/>
          <w:color w:val="000000"/>
          <w:sz w:val="24"/>
          <w:szCs w:val="24"/>
          <w:rtl/>
        </w:rPr>
        <w:t>הנאשמים עשו דין לעצמם משך כשלוש שנים ובכך פגעו בעקרון שלטון החוק.</w:t>
      </w:r>
    </w:p>
    <w:p w:rsidR="00A35E65" w:rsidRPr="00A35E65" w:rsidRDefault="00A35E65" w:rsidP="00A35E65">
      <w:pPr>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גם לאחר החלטת בית המשפט מיולי 2023, הנאשמים לא הגישו בקשה לחינוך ביתי ואף על פי כן המשיכו, לא לשלוח את הקטין לבית הספר.</w:t>
      </w:r>
    </w:p>
    <w:p w:rsidR="00A35E65" w:rsidRPr="00A35E65" w:rsidRDefault="00A35E65" w:rsidP="00A35E65">
      <w:pPr>
        <w:tabs>
          <w:tab w:val="left" w:pos="800"/>
        </w:tabs>
        <w:overflowPunct w:val="0"/>
        <w:autoSpaceDE w:val="0"/>
        <w:autoSpaceDN w:val="0"/>
        <w:adjustRightInd w:val="0"/>
        <w:spacing w:before="240" w:after="0" w:line="360" w:lineRule="auto"/>
        <w:jc w:val="both"/>
        <w:rPr>
          <w:rFonts w:ascii="David" w:eastAsia="Calibri" w:hAnsi="David" w:cs="David"/>
          <w:color w:val="000000"/>
          <w:sz w:val="24"/>
          <w:szCs w:val="24"/>
          <w:rtl/>
        </w:rPr>
      </w:pPr>
      <w:r w:rsidRPr="00A35E65">
        <w:rPr>
          <w:rFonts w:ascii="David" w:eastAsia="Times New Roman" w:hAnsi="David" w:cs="David"/>
          <w:color w:val="000000"/>
          <w:sz w:val="24"/>
          <w:szCs w:val="24"/>
          <w:rtl/>
        </w:rPr>
        <w:t>הזכות לחינוך היא רכיב מרכזי בתשתית הערכית הכוללת של השיטה החוקתית בישראל (</w:t>
      </w:r>
      <w:hyperlink r:id="rId34" w:anchor="0" w:history="1">
        <w:r w:rsidRPr="00A35E65">
          <w:rPr>
            <w:rFonts w:ascii="David" w:eastAsia="Times New Roman" w:hAnsi="David" w:cs="David"/>
            <w:color w:val="0000FF"/>
            <w:sz w:val="24"/>
            <w:szCs w:val="24"/>
            <w:u w:val="single"/>
            <w:rtl/>
          </w:rPr>
          <w:t>בג"ץ 5373/08</w:t>
        </w:r>
      </w:hyperlink>
      <w:r w:rsidRPr="00A35E65">
        <w:rPr>
          <w:rFonts w:ascii="David" w:eastAsia="Times New Roman" w:hAnsi="David" w:cs="David"/>
          <w:color w:val="000000"/>
          <w:sz w:val="24"/>
          <w:szCs w:val="24"/>
          <w:rtl/>
        </w:rPr>
        <w:t> </w:t>
      </w:r>
      <w:r w:rsidRPr="00A35E65">
        <w:rPr>
          <w:rFonts w:ascii="David" w:eastAsia="Times New Roman" w:hAnsi="David" w:cs="David"/>
          <w:b/>
          <w:color w:val="000000"/>
          <w:sz w:val="24"/>
          <w:szCs w:val="24"/>
          <w:rtl/>
        </w:rPr>
        <w:t>איסמעיל אברהים אבו לבדה נ' שרת החינוך; "</w:t>
      </w:r>
      <w:r w:rsidRPr="00A35E65">
        <w:rPr>
          <w:rFonts w:ascii="David" w:eastAsia="Times New Roman" w:hAnsi="David" w:cs="David"/>
          <w:bCs/>
          <w:color w:val="000000"/>
          <w:sz w:val="24"/>
          <w:szCs w:val="24"/>
          <w:rtl/>
        </w:rPr>
        <w:t>פרשת אבו לבדה</w:t>
      </w:r>
      <w:r w:rsidRPr="00A35E65">
        <w:rPr>
          <w:rFonts w:ascii="David" w:eastAsia="Times New Roman" w:hAnsi="David" w:cs="David"/>
          <w:b/>
          <w:color w:val="000000"/>
          <w:sz w:val="24"/>
          <w:szCs w:val="24"/>
          <w:rtl/>
        </w:rPr>
        <w:t>")</w:t>
      </w:r>
      <w:r w:rsidRPr="00A35E65">
        <w:rPr>
          <w:rFonts w:ascii="David" w:eastAsia="Times New Roman" w:hAnsi="David" w:cs="David"/>
          <w:color w:val="000000"/>
          <w:sz w:val="24"/>
          <w:szCs w:val="24"/>
          <w:rtl/>
        </w:rPr>
        <w:t xml:space="preserve">.: היא מקרינה ומשליכה </w:t>
      </w:r>
      <w:r w:rsidRPr="00A35E65">
        <w:rPr>
          <w:rFonts w:ascii="David" w:eastAsia="Times New Roman" w:hAnsi="David" w:cs="David"/>
          <w:color w:val="000000"/>
          <w:sz w:val="24"/>
          <w:szCs w:val="24"/>
          <w:rtl/>
        </w:rPr>
        <w:lastRenderedPageBreak/>
        <w:t xml:space="preserve">על דמותה של החברה ככלל. </w:t>
      </w:r>
      <w:r w:rsidRPr="00A35E65">
        <w:rPr>
          <w:rFonts w:ascii="David" w:eastAsia="Times New Roman" w:hAnsi="David" w:cs="David"/>
          <w:b/>
          <w:bCs/>
          <w:color w:val="000000"/>
          <w:sz w:val="24"/>
          <w:szCs w:val="24"/>
          <w:rtl/>
        </w:rPr>
        <w:t>ללא חינוך, אין לאדם סיכוי ממשי לממש את הווייתו העצמית, לפתח את כישרונותיו ויכולותיו, ולעצב את תפיסתו הערכית והמוסרית, שבלעדיהם נפגעת יכולתו להשתלב בחברה בת-תרבות</w:t>
      </w:r>
      <w:r w:rsidRPr="00A35E65">
        <w:rPr>
          <w:rFonts w:ascii="David" w:eastAsia="Times New Roman" w:hAnsi="David" w:cs="David"/>
          <w:color w:val="000000"/>
          <w:sz w:val="24"/>
          <w:szCs w:val="24"/>
          <w:rtl/>
        </w:rPr>
        <w:t xml:space="preserve">; </w:t>
      </w:r>
      <w:r w:rsidRPr="00A35E65">
        <w:rPr>
          <w:rFonts w:ascii="David" w:eastAsia="Times New Roman" w:hAnsi="David" w:cs="David"/>
          <w:b/>
          <w:bCs/>
          <w:color w:val="000000"/>
          <w:sz w:val="24"/>
          <w:szCs w:val="24"/>
          <w:rtl/>
        </w:rPr>
        <w:t>ללא חינוך, נפגעת דמותה של החברה, והחתירה לעצב בישראל חברה דמוקרטית, סובלנית, השומרת על חירויות יסוד ומפתחת תרבות כללית וייחודית עלולה להיכשל</w:t>
      </w:r>
      <w:r w:rsidRPr="00A35E65">
        <w:rPr>
          <w:rFonts w:ascii="David" w:eastAsia="Times New Roman" w:hAnsi="David" w:cs="David"/>
          <w:color w:val="000000"/>
          <w:sz w:val="24"/>
          <w:szCs w:val="24"/>
          <w:rtl/>
        </w:rPr>
        <w:t xml:space="preserve"> (ראו רע"פ 8471/20 פלוני ואח' נ' עיריית נס ציונה; </w:t>
      </w:r>
      <w:r w:rsidRPr="00A35E65">
        <w:rPr>
          <w:rFonts w:ascii="David" w:eastAsia="Times New Roman" w:hAnsi="David" w:cs="David"/>
          <w:b/>
          <w:color w:val="000000"/>
          <w:sz w:val="24"/>
          <w:szCs w:val="24"/>
          <w:rtl/>
        </w:rPr>
        <w:t>פרשת אבו לבדה</w:t>
      </w:r>
      <w:r w:rsidRPr="00A35E65">
        <w:rPr>
          <w:rFonts w:ascii="David" w:eastAsia="Times New Roman" w:hAnsi="David" w:cs="David"/>
          <w:color w:val="000000"/>
          <w:sz w:val="24"/>
          <w:szCs w:val="24"/>
          <w:rtl/>
        </w:rPr>
        <w:t xml:space="preserve">; בג"ץ 4363/00 ועד פוריה עלית נ' שר החינוך; בג"ץ 2599/00 יתד – עמותת הורים לילדי תסמונת דאון נ' משרד החינוך; בג"ץ 7374/01 פלונים נ' מנכ"לית משרד החינוך). </w:t>
      </w:r>
    </w:p>
    <w:p w:rsidR="00A35E65" w:rsidRPr="00A35E65" w:rsidRDefault="00A35E65" w:rsidP="00A35E65">
      <w:pPr>
        <w:tabs>
          <w:tab w:val="left" w:pos="800"/>
        </w:tabs>
        <w:overflowPunct w:val="0"/>
        <w:autoSpaceDE w:val="0"/>
        <w:autoSpaceDN w:val="0"/>
        <w:adjustRightInd w:val="0"/>
        <w:spacing w:before="240" w:after="0" w:line="360" w:lineRule="auto"/>
        <w:jc w:val="both"/>
        <w:rPr>
          <w:rFonts w:ascii="David" w:eastAsia="Times New Roman" w:hAnsi="David" w:cs="David"/>
          <w:color w:val="000000"/>
          <w:sz w:val="24"/>
          <w:szCs w:val="24"/>
        </w:rPr>
      </w:pPr>
      <w:r w:rsidRPr="00A35E65">
        <w:rPr>
          <w:rFonts w:ascii="David" w:eastAsia="Times New Roman" w:hAnsi="David" w:cs="David"/>
          <w:b/>
          <w:bCs/>
          <w:color w:val="000000"/>
          <w:sz w:val="24"/>
          <w:szCs w:val="24"/>
          <w:rtl/>
        </w:rPr>
        <w:t>במעשיהם פגעו הנאשמים גם באינטרס החברתי, שכל בני האדם החברים יממשו את מירב הפוטנציאל הטמון בהם, לשם שגשוג החברה</w:t>
      </w:r>
      <w:r w:rsidRPr="00A35E65">
        <w:rPr>
          <w:rFonts w:ascii="David" w:eastAsia="Times New Roman" w:hAnsi="David" w:cs="David"/>
          <w:color w:val="000000"/>
          <w:sz w:val="24"/>
          <w:szCs w:val="24"/>
          <w:rtl/>
        </w:rPr>
        <w:t>.</w:t>
      </w:r>
    </w:p>
    <w:p w:rsidR="00A35E65" w:rsidRPr="00A35E65" w:rsidRDefault="00A35E65" w:rsidP="00A35E65">
      <w:pPr>
        <w:tabs>
          <w:tab w:val="left" w:pos="800"/>
        </w:tabs>
        <w:overflowPunct w:val="0"/>
        <w:autoSpaceDE w:val="0"/>
        <w:autoSpaceDN w:val="0"/>
        <w:adjustRightInd w:val="0"/>
        <w:spacing w:before="240" w:after="0" w:line="360"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יתרה מכך</w:t>
      </w:r>
      <w:r w:rsidRPr="00A35E65">
        <w:rPr>
          <w:rFonts w:ascii="David" w:eastAsia="Times New Roman" w:hAnsi="David" w:cs="David"/>
          <w:b/>
          <w:bCs/>
          <w:color w:val="000000"/>
          <w:sz w:val="24"/>
          <w:szCs w:val="24"/>
          <w:rtl/>
        </w:rPr>
        <w:t>, ישראל הביעה את מחויבותה העמוקה למימוש זכות הילד לחינוך בהצטרפה להצהרות בינלאומיות, ובהתחייבויות שנטלה על עצמה במסגרת אמנות בינלאומיות רב-צדדיות</w:t>
      </w:r>
      <w:r w:rsidRPr="00A35E65">
        <w:rPr>
          <w:rFonts w:ascii="David" w:eastAsia="Times New Roman" w:hAnsi="David" w:cs="David"/>
          <w:color w:val="000000"/>
          <w:sz w:val="24"/>
          <w:szCs w:val="24"/>
        </w:rPr>
        <w:t xml:space="preserve"> </w:t>
      </w:r>
      <w:r w:rsidRPr="00A35E65">
        <w:rPr>
          <w:rFonts w:ascii="David" w:eastAsia="Times New Roman" w:hAnsi="David" w:cs="David"/>
          <w:color w:val="000000"/>
          <w:sz w:val="24"/>
          <w:szCs w:val="24"/>
          <w:rtl/>
        </w:rPr>
        <w:t>(ההכרזה לכל באי עולם בדבר זכויות האדם משנת 1948, סעיף 26; אמנה בינלאומית בדבר זכויות כלכליות, חברתיות ותרבותיות משנת 1966, סעיף 13; אמנה בדבר זכויות הילד משנת 1989, סעיף 28) (</w:t>
      </w:r>
      <w:r w:rsidRPr="00A35E65">
        <w:rPr>
          <w:rFonts w:ascii="David" w:eastAsia="Times New Roman" w:hAnsi="David" w:cs="David"/>
          <w:b/>
          <w:color w:val="000000"/>
          <w:sz w:val="24"/>
          <w:szCs w:val="24"/>
          <w:rtl/>
        </w:rPr>
        <w:t>פרשת אבו לבדה</w:t>
      </w:r>
      <w:r w:rsidRPr="00A35E65">
        <w:rPr>
          <w:rFonts w:ascii="David" w:eastAsia="Times New Roman" w:hAnsi="David" w:cs="David"/>
          <w:color w:val="000000"/>
          <w:sz w:val="24"/>
          <w:szCs w:val="24"/>
          <w:rtl/>
        </w:rPr>
        <w:t xml:space="preserve">). </w:t>
      </w:r>
      <w:r w:rsidRPr="00A35E65">
        <w:rPr>
          <w:rFonts w:ascii="David" w:eastAsia="Times New Roman" w:hAnsi="David" w:cs="David"/>
          <w:b/>
          <w:bCs/>
          <w:color w:val="000000"/>
          <w:sz w:val="24"/>
          <w:szCs w:val="24"/>
          <w:rtl/>
        </w:rPr>
        <w:t>במעשיהם פגעו הנאשמים גם במשמעות ההתחייבויות הללו</w:t>
      </w:r>
      <w:r w:rsidRPr="00A35E65">
        <w:rPr>
          <w:rFonts w:ascii="David" w:eastAsia="Times New Roman" w:hAnsi="David" w:cs="David"/>
          <w:color w:val="000000"/>
          <w:sz w:val="24"/>
          <w:szCs w:val="24"/>
          <w:rtl/>
        </w:rPr>
        <w:t xml:space="preserve">. </w:t>
      </w:r>
    </w:p>
    <w:p w:rsidR="00A35E65" w:rsidRPr="00A35E65" w:rsidRDefault="00A35E65" w:rsidP="00A35E65">
      <w:pPr>
        <w:spacing w:before="240" w:after="0" w:line="360" w:lineRule="auto"/>
        <w:jc w:val="both"/>
        <w:rPr>
          <w:rFonts w:ascii="David" w:eastAsia="Calibri" w:hAnsi="David" w:cs="David"/>
          <w:sz w:val="24"/>
          <w:szCs w:val="24"/>
        </w:rPr>
      </w:pPr>
      <w:r w:rsidRPr="00A35E65">
        <w:rPr>
          <w:rFonts w:ascii="David" w:eastAsia="Calibri" w:hAnsi="David" w:cs="David"/>
          <w:b/>
          <w:bCs/>
          <w:sz w:val="24"/>
          <w:szCs w:val="24"/>
          <w:rtl/>
        </w:rPr>
        <w:t>הנאשמים פגעו בזכות לשוויון בחינוך</w:t>
      </w:r>
      <w:r w:rsidRPr="00A35E65">
        <w:rPr>
          <w:rFonts w:ascii="David" w:eastAsia="Calibri" w:hAnsi="David" w:cs="David"/>
          <w:sz w:val="24"/>
          <w:szCs w:val="24"/>
          <w:rtl/>
        </w:rPr>
        <w:t xml:space="preserve">. </w:t>
      </w:r>
      <w:r w:rsidRPr="00A35E65">
        <w:rPr>
          <w:rFonts w:ascii="David" w:eastAsia="Calibri" w:hAnsi="David" w:cs="David"/>
          <w:b/>
          <w:bCs/>
          <w:color w:val="000000"/>
          <w:sz w:val="24"/>
          <w:szCs w:val="24"/>
          <w:rtl/>
        </w:rPr>
        <w:t>הפליה בחינוך פוגעת בערכים הבסיסיים שהזכות לחינוך נועדה להגשים</w:t>
      </w:r>
      <w:r w:rsidRPr="00A35E65">
        <w:rPr>
          <w:rFonts w:ascii="David" w:eastAsia="Calibri" w:hAnsi="David" w:cs="David"/>
          <w:color w:val="000000"/>
          <w:sz w:val="24"/>
          <w:szCs w:val="24"/>
          <w:rtl/>
        </w:rPr>
        <w:t>: היא פוגעת פגיעה קשה בפרט וגם ביעדים שהחינוך אמור להגשים בהיבט החברתי הכללי (</w:t>
      </w:r>
      <w:r w:rsidRPr="00A35E65">
        <w:rPr>
          <w:rFonts w:ascii="David" w:eastAsia="Calibri" w:hAnsi="David" w:cs="David"/>
          <w:b/>
          <w:color w:val="000000"/>
          <w:sz w:val="24"/>
          <w:szCs w:val="24"/>
          <w:rtl/>
        </w:rPr>
        <w:t>פרשת אבו לבדה</w:t>
      </w:r>
      <w:r w:rsidRPr="00A35E65">
        <w:rPr>
          <w:rFonts w:ascii="David" w:eastAsia="Calibri" w:hAnsi="David" w:cs="David"/>
          <w:sz w:val="24"/>
          <w:szCs w:val="24"/>
          <w:rtl/>
        </w:rPr>
        <w:t>)</w:t>
      </w:r>
      <w:r w:rsidRPr="00A35E65">
        <w:rPr>
          <w:rFonts w:ascii="David" w:eastAsia="Calibri" w:hAnsi="David" w:cs="David"/>
          <w:color w:val="000000"/>
          <w:sz w:val="24"/>
          <w:szCs w:val="24"/>
          <w:rtl/>
        </w:rPr>
        <w:t>. השוויון בחינוך הוא אמצעי חיוני להגשמת הזכות לחינוך בשלמותה, וגם ערך העומד לעצמו, כגורם הפוסל אבחנה בלתי לגיטימית בין שווים (</w:t>
      </w:r>
      <w:hyperlink r:id="rId35" w:history="1">
        <w:r w:rsidRPr="00A35E65">
          <w:rPr>
            <w:rFonts w:ascii="David" w:eastAsia="Calibri" w:hAnsi="David" w:cs="David"/>
            <w:color w:val="0000FF"/>
            <w:sz w:val="24"/>
            <w:szCs w:val="24"/>
            <w:u w:val="single"/>
            <w:rtl/>
          </w:rPr>
          <w:t>בג"ץ 7426/08 טבקה משפט וצדק לעולי אתיופיה נ' שרת החינוך פרופ' יולי תמיר‏</w:t>
        </w:r>
      </w:hyperlink>
      <w:r w:rsidRPr="00A35E65">
        <w:rPr>
          <w:rFonts w:ascii="David" w:eastAsia="Calibri" w:hAnsi="David" w:cs="David"/>
          <w:color w:val="000000"/>
          <w:sz w:val="24"/>
          <w:szCs w:val="24"/>
          <w:rtl/>
        </w:rPr>
        <w:t>‏;</w:t>
      </w:r>
      <w:r w:rsidRPr="00A35E65">
        <w:rPr>
          <w:rFonts w:ascii="David" w:eastAsia="Calibri" w:hAnsi="David" w:cs="David"/>
          <w:sz w:val="24"/>
          <w:szCs w:val="24"/>
        </w:rPr>
        <w:t xml:space="preserve"> </w:t>
      </w:r>
      <w:r w:rsidRPr="00A35E65">
        <w:rPr>
          <w:rFonts w:ascii="David" w:eastAsia="Calibri" w:hAnsi="David" w:cs="David"/>
          <w:b/>
          <w:color w:val="000000"/>
          <w:sz w:val="24"/>
          <w:szCs w:val="24"/>
          <w:rtl/>
        </w:rPr>
        <w:t>פרשת אבו לבדה</w:t>
      </w:r>
      <w:r w:rsidRPr="00A35E65">
        <w:rPr>
          <w:rFonts w:ascii="David" w:eastAsia="Calibri" w:hAnsi="David" w:cs="David"/>
          <w:sz w:val="24"/>
          <w:szCs w:val="24"/>
          <w:rtl/>
        </w:rPr>
        <w:t xml:space="preserve">). </w:t>
      </w:r>
    </w:p>
    <w:p w:rsidR="00A35E65" w:rsidRPr="00A35E65" w:rsidRDefault="00A35E65" w:rsidP="00A35E65">
      <w:pPr>
        <w:spacing w:before="240" w:after="0" w:line="360" w:lineRule="auto"/>
        <w:jc w:val="both"/>
        <w:rPr>
          <w:rFonts w:ascii="David" w:eastAsia="Calibri" w:hAnsi="David" w:cs="David"/>
          <w:color w:val="000000"/>
          <w:sz w:val="24"/>
          <w:szCs w:val="24"/>
          <w:rtl/>
        </w:rPr>
      </w:pPr>
      <w:r w:rsidRPr="00A35E65">
        <w:rPr>
          <w:rFonts w:ascii="David" w:eastAsia="Calibri" w:hAnsi="David" w:cs="David"/>
          <w:color w:val="000000"/>
          <w:sz w:val="24"/>
          <w:szCs w:val="24"/>
          <w:rtl/>
        </w:rPr>
        <w:t xml:space="preserve">הפליה בחינוך משמעה העדפת קבוצה או פרט על פני אחרים המצויים במעמד שווה, </w:t>
      </w:r>
      <w:r w:rsidRPr="00A35E65">
        <w:rPr>
          <w:rFonts w:ascii="David" w:eastAsia="Calibri" w:hAnsi="David" w:cs="David"/>
          <w:b/>
          <w:bCs/>
          <w:color w:val="000000"/>
          <w:sz w:val="24"/>
          <w:szCs w:val="24"/>
          <w:u w:val="single"/>
          <w:rtl/>
        </w:rPr>
        <w:t>ואי-מתן הזדמנות שווה לקבוצה או לפרט שקופחו לממש את פוטנציאל יכולותיהם וסיכוייהם</w:t>
      </w:r>
      <w:r w:rsidRPr="00A35E65">
        <w:rPr>
          <w:rFonts w:ascii="David" w:eastAsia="Calibri" w:hAnsi="David" w:cs="David"/>
          <w:b/>
          <w:bCs/>
          <w:color w:val="000000"/>
          <w:sz w:val="24"/>
          <w:szCs w:val="24"/>
          <w:rtl/>
        </w:rPr>
        <w:t xml:space="preserve"> </w:t>
      </w:r>
      <w:r w:rsidRPr="00A35E65">
        <w:rPr>
          <w:rFonts w:ascii="David" w:eastAsia="Calibri" w:hAnsi="David" w:cs="David"/>
          <w:color w:val="000000"/>
          <w:sz w:val="24"/>
          <w:szCs w:val="24"/>
          <w:rtl/>
        </w:rPr>
        <w:t>(</w:t>
      </w:r>
      <w:r w:rsidRPr="00A35E65">
        <w:rPr>
          <w:rFonts w:ascii="David" w:eastAsia="Calibri" w:hAnsi="David" w:cs="David"/>
          <w:b/>
          <w:color w:val="000000"/>
          <w:sz w:val="24"/>
          <w:szCs w:val="24"/>
          <w:rtl/>
        </w:rPr>
        <w:t>פרשת אבו לבדה</w:t>
      </w:r>
      <w:r w:rsidRPr="00A35E65">
        <w:rPr>
          <w:rFonts w:ascii="David" w:eastAsia="Calibri" w:hAnsi="David" w:cs="David"/>
          <w:sz w:val="24"/>
          <w:szCs w:val="24"/>
          <w:rtl/>
        </w:rPr>
        <w:t>) – מי יכול לומר שהקטין קיבל הזדמנות שווה לממש את פוטנציאל היכולות שלו וסיכוייו?</w:t>
      </w:r>
      <w:r w:rsidRPr="00A35E65">
        <w:rPr>
          <w:rFonts w:ascii="David" w:eastAsia="Calibri" w:hAnsi="David" w:cs="David"/>
          <w:color w:val="000000"/>
          <w:sz w:val="24"/>
          <w:szCs w:val="24"/>
          <w:rtl/>
        </w:rPr>
        <w:t xml:space="preserve"> כיצד, לאור כל האמור, ניתן לטעון כי המעשה אינו מגלם סיכון לטובת הקטין? (ראו גם ע"פ 807/99 </w:t>
      </w:r>
      <w:r w:rsidRPr="00A35E65">
        <w:rPr>
          <w:rFonts w:ascii="David" w:eastAsia="Calibri" w:hAnsi="David" w:cs="David"/>
          <w:b/>
          <w:bCs/>
          <w:color w:val="000000"/>
          <w:sz w:val="24"/>
          <w:szCs w:val="24"/>
          <w:rtl/>
        </w:rPr>
        <w:t>מדינת ישראל נ' עזיזיאן</w:t>
      </w:r>
      <w:r w:rsidRPr="00A35E65">
        <w:rPr>
          <w:rFonts w:ascii="David" w:eastAsia="Calibri" w:hAnsi="David" w:cs="David"/>
          <w:color w:val="000000"/>
          <w:sz w:val="24"/>
          <w:szCs w:val="24"/>
          <w:rtl/>
        </w:rPr>
        <w:t>).</w:t>
      </w:r>
    </w:p>
    <w:p w:rsidR="00A35E65" w:rsidRPr="00A35E65" w:rsidRDefault="00A35E65" w:rsidP="00A35E65">
      <w:pPr>
        <w:spacing w:before="240" w:after="0" w:line="360" w:lineRule="auto"/>
        <w:jc w:val="both"/>
        <w:rPr>
          <w:rFonts w:ascii="David" w:eastAsia="Calibri" w:hAnsi="David" w:cs="David"/>
          <w:color w:val="000000"/>
          <w:sz w:val="24"/>
          <w:szCs w:val="24"/>
          <w:u w:val="single"/>
          <w:rtl/>
        </w:rPr>
      </w:pPr>
      <w:r w:rsidRPr="00A35E65">
        <w:rPr>
          <w:rFonts w:ascii="David" w:eastAsia="Calibri" w:hAnsi="David" w:cs="David"/>
          <w:color w:val="000000"/>
          <w:sz w:val="24"/>
          <w:szCs w:val="24"/>
          <w:rtl/>
        </w:rPr>
        <w:t>בית המשפט רואה בחומרה את התנהגות הנאשמים ומחדלם . אין המדובר בעבירה קלת ערך נוכח  נסיבות ביצוע העבירה והתמשכותה ובשים לב להיות הקטין בעל צרכים מיוחדים. הנאשמים מנעו מהקטין ללמוד בבית ספר החל מכתה א' למעלה משנתיים, כמו כן מנעו מהקטין את ההזדמנות לרכוש הרגלי למידה, סדר ומשמעת לרבות את האפשרות ליצור קשרים מיטביים עם קבוצת בני שווים.</w:t>
      </w:r>
    </w:p>
    <w:p w:rsidR="00A35E65" w:rsidRPr="00A35E65" w:rsidRDefault="00A35E65" w:rsidP="00A35E65">
      <w:pPr>
        <w:spacing w:before="240" w:after="0" w:line="360" w:lineRule="auto"/>
        <w:jc w:val="both"/>
        <w:rPr>
          <w:rFonts w:ascii="David" w:eastAsia="Calibri" w:hAnsi="David" w:cs="David"/>
          <w:color w:val="000000"/>
          <w:sz w:val="24"/>
          <w:szCs w:val="24"/>
        </w:rPr>
      </w:pPr>
      <w:r w:rsidRPr="00A35E65">
        <w:rPr>
          <w:rFonts w:ascii="David" w:eastAsia="Calibri" w:hAnsi="David" w:cs="David"/>
          <w:color w:val="000000"/>
          <w:sz w:val="24"/>
          <w:szCs w:val="24"/>
          <w:rtl/>
        </w:rPr>
        <w:t xml:space="preserve">הנאשמים הפרו חובתם כלפי הקטין , חובה שלצידה קבע המחוקק סנקציה פלילית. הנאשמים זלזלו בחוק ובזכות הקטין ללמוד במסגרת חינוכית מסודרת ומפוקחת. </w:t>
      </w:r>
    </w:p>
    <w:p w:rsidR="00A35E65" w:rsidRPr="00A35E65" w:rsidRDefault="00A35E65" w:rsidP="00A35E65">
      <w:pPr>
        <w:spacing w:before="240" w:after="0" w:line="360" w:lineRule="auto"/>
        <w:jc w:val="both"/>
        <w:rPr>
          <w:rFonts w:ascii="David" w:eastAsia="Calibri" w:hAnsi="David" w:cs="David"/>
          <w:color w:val="000000"/>
          <w:sz w:val="24"/>
          <w:szCs w:val="24"/>
        </w:rPr>
      </w:pPr>
      <w:r w:rsidRPr="00A35E65">
        <w:rPr>
          <w:rFonts w:ascii="David" w:eastAsia="Calibri" w:hAnsi="David" w:cs="David"/>
          <w:color w:val="000000"/>
          <w:sz w:val="24"/>
          <w:szCs w:val="24"/>
          <w:rtl/>
        </w:rPr>
        <w:t xml:space="preserve">לאור האמור לעיל, </w:t>
      </w:r>
      <w:r w:rsidRPr="00A35E65">
        <w:rPr>
          <w:rFonts w:ascii="David" w:eastAsia="Calibri" w:hAnsi="David" w:cs="David"/>
          <w:color w:val="000000"/>
          <w:sz w:val="24"/>
          <w:szCs w:val="24"/>
          <w:u w:val="single"/>
          <w:rtl/>
        </w:rPr>
        <w:t>טענת ב"כ הנאשמים לקיומה של הגנת זוטי דברים נדחית</w:t>
      </w:r>
      <w:r w:rsidRPr="00A35E65">
        <w:rPr>
          <w:rFonts w:ascii="David" w:eastAsia="Calibri" w:hAnsi="David" w:cs="David"/>
          <w:color w:val="000000"/>
          <w:sz w:val="24"/>
          <w:szCs w:val="24"/>
          <w:rtl/>
        </w:rPr>
        <w:t>.</w:t>
      </w:r>
    </w:p>
    <w:p w:rsidR="00A35E65" w:rsidRPr="00A35E65" w:rsidRDefault="00A35E65" w:rsidP="00A35E65">
      <w:pPr>
        <w:spacing w:before="240" w:after="0" w:line="360" w:lineRule="auto"/>
        <w:jc w:val="both"/>
        <w:rPr>
          <w:rFonts w:ascii="David" w:eastAsia="Calibri" w:hAnsi="David" w:cs="David"/>
          <w:color w:val="000000"/>
          <w:sz w:val="24"/>
          <w:szCs w:val="24"/>
          <w:rtl/>
        </w:rPr>
      </w:pPr>
      <w:r w:rsidRPr="00A35E65">
        <w:rPr>
          <w:rFonts w:ascii="David" w:eastAsia="Calibri" w:hAnsi="David" w:cs="David"/>
          <w:color w:val="000000"/>
          <w:sz w:val="24"/>
          <w:szCs w:val="24"/>
          <w:rtl/>
        </w:rPr>
        <w:lastRenderedPageBreak/>
        <w:t>ביהמ"ש מקווה כי מעתה הקטין יקבל הזדמנות כנה ואמיתית ללמוד, לשגשג, לרכוש מיומנויות ככל שאלו ניתנות לרכישה במסגרות חינוכיות, לזכות בכישורים חברתיים, להתפתח ולהצליח בהמשך דרכו.</w:t>
      </w:r>
    </w:p>
    <w:p w:rsidR="00A35E65" w:rsidRPr="00A35E65" w:rsidRDefault="00A35E65" w:rsidP="00A35E65">
      <w:pPr>
        <w:spacing w:before="240" w:after="0" w:line="360" w:lineRule="auto"/>
        <w:jc w:val="both"/>
        <w:rPr>
          <w:rFonts w:ascii="David" w:eastAsia="Calibri" w:hAnsi="David" w:cs="David"/>
          <w:color w:val="000000"/>
          <w:sz w:val="24"/>
          <w:szCs w:val="24"/>
          <w:rtl/>
        </w:rPr>
      </w:pPr>
      <w:r w:rsidRPr="00A35E65">
        <w:rPr>
          <w:rFonts w:ascii="David" w:eastAsia="Times New Roman" w:hAnsi="David" w:cs="David"/>
          <w:b/>
          <w:bCs/>
          <w:color w:val="000000"/>
          <w:sz w:val="24"/>
          <w:szCs w:val="24"/>
          <w:u w:val="single"/>
          <w:rtl/>
        </w:rPr>
        <w:t>סוף דבר</w:t>
      </w:r>
    </w:p>
    <w:p w:rsidR="00A35E65" w:rsidRPr="00A35E65" w:rsidRDefault="00A35E65" w:rsidP="00A35E65">
      <w:pPr>
        <w:spacing w:before="240" w:after="0" w:line="276" w:lineRule="auto"/>
        <w:jc w:val="both"/>
        <w:rPr>
          <w:rFonts w:ascii="David" w:eastAsia="Times New Roman" w:hAnsi="David" w:cs="David"/>
          <w:color w:val="000000"/>
          <w:sz w:val="24"/>
          <w:szCs w:val="24"/>
          <w:u w:val="single"/>
          <w:rtl/>
        </w:rPr>
      </w:pPr>
      <w:r w:rsidRPr="00A35E65">
        <w:rPr>
          <w:rFonts w:ascii="David" w:eastAsia="Times New Roman" w:hAnsi="David" w:cs="David"/>
          <w:color w:val="000000"/>
          <w:sz w:val="24"/>
          <w:szCs w:val="24"/>
          <w:rtl/>
        </w:rPr>
        <w:t xml:space="preserve">הנאשמים הודו בעובדות המיוחסות בכתב האישום. </w:t>
      </w:r>
    </w:p>
    <w:p w:rsidR="00A35E65" w:rsidRPr="00A35E65" w:rsidRDefault="00A35E65" w:rsidP="00A35E65">
      <w:pPr>
        <w:spacing w:before="240" w:after="0" w:line="276"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הטענה המשפטית שהועלתה ע"י ב"כ הנאשמים כהגנה, נדחית .</w:t>
      </w:r>
    </w:p>
    <w:p w:rsidR="00A35E65" w:rsidRPr="00A35E65" w:rsidRDefault="00A35E65" w:rsidP="00A35E65">
      <w:pPr>
        <w:spacing w:before="240" w:after="0" w:line="276"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המאשימה עמדה בנטל ההוכחה המוטל בהליך להוכחת העבירה המיוחסת לנאשמים.</w:t>
      </w:r>
    </w:p>
    <w:p w:rsidR="00A35E65" w:rsidRPr="00A35E65" w:rsidRDefault="00A35E65" w:rsidP="00A35E65">
      <w:pPr>
        <w:spacing w:before="240" w:after="0" w:line="276" w:lineRule="auto"/>
        <w:jc w:val="both"/>
        <w:rPr>
          <w:rFonts w:ascii="David" w:eastAsia="Times New Roman" w:hAnsi="David" w:cs="David"/>
          <w:color w:val="000000"/>
          <w:sz w:val="24"/>
          <w:szCs w:val="24"/>
          <w:rtl/>
        </w:rPr>
      </w:pPr>
      <w:r w:rsidRPr="00A35E65">
        <w:rPr>
          <w:rFonts w:ascii="David" w:eastAsia="Times New Roman" w:hAnsi="David" w:cs="David"/>
          <w:color w:val="000000"/>
          <w:sz w:val="24"/>
          <w:szCs w:val="24"/>
          <w:rtl/>
        </w:rPr>
        <w:t>לאור כל האמור לעיל, הריני מרשיעה את הנאשמים בביצוע עבירה לפי סעיפים 4(א) ו-4(ב) לחוק לימוד חובה המיוחסת בכתב האישום.</w:t>
      </w:r>
    </w:p>
    <w:p w:rsidR="00A35E65" w:rsidRPr="00A35E65" w:rsidRDefault="00A35E65" w:rsidP="00A35E65">
      <w:pPr>
        <w:spacing w:before="240" w:after="0" w:line="276" w:lineRule="auto"/>
        <w:jc w:val="both"/>
        <w:rPr>
          <w:rFonts w:ascii="David" w:eastAsia="Times New Roman" w:hAnsi="David" w:cs="David"/>
          <w:color w:val="000000"/>
          <w:rtl/>
        </w:rPr>
      </w:pPr>
      <w:r w:rsidRPr="00A35E65">
        <w:rPr>
          <w:rFonts w:ascii="David" w:eastAsia="Times New Roman" w:hAnsi="David" w:cs="David"/>
          <w:color w:val="000000"/>
          <w:rtl/>
        </w:rPr>
        <w:t>בשולי הכרעת הדין ביהמ"ש מוצא לנכון להעיר מספר הערות והארות נוספות:</w:t>
      </w:r>
    </w:p>
    <w:p w:rsidR="00A35E65" w:rsidRPr="00A35E65" w:rsidRDefault="00A35E65" w:rsidP="00A35E65">
      <w:pPr>
        <w:spacing w:before="240" w:after="0" w:line="276" w:lineRule="auto"/>
        <w:jc w:val="both"/>
        <w:rPr>
          <w:rFonts w:ascii="David" w:eastAsia="Times New Roman" w:hAnsi="David" w:cs="David"/>
          <w:color w:val="000000"/>
          <w:rtl/>
        </w:rPr>
      </w:pPr>
      <w:r w:rsidRPr="00A35E65">
        <w:rPr>
          <w:rFonts w:ascii="David" w:eastAsia="Times New Roman" w:hAnsi="David" w:cs="David"/>
          <w:color w:val="000000"/>
          <w:rtl/>
        </w:rPr>
        <w:t>הנאשמת הותירה רושם כנה על ביהמ"ש. ניכר כי דיברה מדם ליבה וכי אוהבת את הקטין בכל מאודה. אך אין באהבת אם לבנה דיי כדי להבטיח שטובת הקטין מתקיימת, או כדי לדרוש מהמדינה לסגת מחובתה לקיים את זכות הקטין לחינוך או את טובת הקטין.</w:t>
      </w:r>
    </w:p>
    <w:p w:rsidR="00A35E65" w:rsidRPr="00A35E65" w:rsidRDefault="00A35E65" w:rsidP="00A35E65">
      <w:pPr>
        <w:spacing w:before="240" w:after="0" w:line="276" w:lineRule="auto"/>
        <w:ind w:left="1418" w:right="1418"/>
        <w:jc w:val="both"/>
        <w:rPr>
          <w:rFonts w:ascii="David" w:eastAsia="Times New Roman" w:hAnsi="David" w:cs="David"/>
          <w:b/>
          <w:i/>
          <w:iCs/>
          <w:rtl/>
        </w:rPr>
      </w:pPr>
      <w:r w:rsidRPr="00A35E65">
        <w:rPr>
          <w:rFonts w:ascii="David" w:eastAsia="Times New Roman" w:hAnsi="David" w:cs="David"/>
          <w:b/>
          <w:i/>
          <w:iCs/>
          <w:rtl/>
        </w:rPr>
        <w:t xml:space="preserve">"ראוי להדגיש, עם זאת, </w:t>
      </w:r>
      <w:r w:rsidRPr="00A35E65">
        <w:rPr>
          <w:rFonts w:ascii="David" w:eastAsia="Times New Roman" w:hAnsi="David" w:cs="David"/>
          <w:bCs/>
          <w:i/>
          <w:iCs/>
          <w:rtl/>
        </w:rPr>
        <w:t>כי האוטונומיה של ההורים בגידול ילדיהם אינה זכות מוחלטת, והיא כפופה תמיד לצרכי הילד, לטובתו ולזכויותיו</w:t>
      </w:r>
      <w:r w:rsidRPr="00A35E65">
        <w:rPr>
          <w:rFonts w:ascii="David" w:eastAsia="Times New Roman" w:hAnsi="David" w:cs="David"/>
          <w:b/>
          <w:i/>
          <w:iCs/>
          <w:rtl/>
        </w:rPr>
        <w:t xml:space="preserve"> [...] כך למשל מסמיך סעיף 68(א) לחוק הכשרות המשפטית... סעיף זה אין עניינו בהורים המזניחים את ילדיהם או שאינם ממלאים כלפיהם את חובתם, אלא </w:t>
      </w:r>
      <w:r w:rsidRPr="00A35E65">
        <w:rPr>
          <w:rFonts w:ascii="David" w:eastAsia="Times New Roman" w:hAnsi="David" w:cs="David"/>
          <w:bCs/>
          <w:i/>
          <w:iCs/>
          <w:rtl/>
        </w:rPr>
        <w:t>שהוא מבטא בחובו את התפיסה לפיה למדינה יש תפקיד מסוים בשמירת טובתם של הקטינים</w:t>
      </w:r>
      <w:r w:rsidRPr="00A35E65">
        <w:rPr>
          <w:rFonts w:ascii="David" w:eastAsia="Times New Roman" w:hAnsi="David" w:cs="David"/>
          <w:b/>
          <w:i/>
          <w:iCs/>
          <w:rtl/>
        </w:rPr>
        <w:t xml:space="preserve">. [...] </w:t>
      </w:r>
      <w:r w:rsidRPr="00A35E65">
        <w:rPr>
          <w:rFonts w:ascii="David" w:eastAsia="Times New Roman" w:hAnsi="David" w:cs="David"/>
          <w:b/>
          <w:rtl/>
        </w:rPr>
        <w:t>(פסקה 59 לפסק דינה של השופטת ארבל, פרשת רובינשטיין)</w:t>
      </w:r>
      <w:r w:rsidRPr="00A35E65">
        <w:rPr>
          <w:rFonts w:ascii="David" w:eastAsia="Times New Roman" w:hAnsi="David" w:cs="David"/>
          <w:b/>
          <w:i/>
          <w:iCs/>
          <w:rtl/>
        </w:rPr>
        <w:t>. "</w:t>
      </w:r>
    </w:p>
    <w:p w:rsidR="00A35E65" w:rsidRPr="00A35E65" w:rsidRDefault="00A35E65" w:rsidP="00A35E65">
      <w:pPr>
        <w:spacing w:before="240" w:after="0" w:line="276" w:lineRule="auto"/>
        <w:jc w:val="both"/>
        <w:rPr>
          <w:rFonts w:ascii="David" w:eastAsia="Times New Roman" w:hAnsi="David" w:cs="David"/>
          <w:color w:val="000000"/>
          <w:rtl/>
        </w:rPr>
      </w:pPr>
      <w:r w:rsidRPr="00A35E65">
        <w:rPr>
          <w:rFonts w:ascii="David" w:eastAsia="Times New Roman" w:hAnsi="David" w:cs="David"/>
          <w:color w:val="000000"/>
          <w:rtl/>
        </w:rPr>
        <w:t xml:space="preserve">ביהמ"ש מאמין כי לצד פתיחת האפשרות לקטין לחוות את בית הספר, ללמוד, להשלים פערים ולהצליח בו, לא תהא בכך השפעה על איכות הקשר בין הקטין לבין אמו, ואין בכך כדי למנוע מהנאשמת להמשיך עם הקניית ערכיה ולימודיה לקטין בשעות שלאחר הלימודים בבית-הספר. </w:t>
      </w:r>
    </w:p>
    <w:p w:rsidR="00A35E65" w:rsidRPr="00A35E65" w:rsidRDefault="00A35E65" w:rsidP="00A35E65">
      <w:pPr>
        <w:spacing w:before="240" w:after="0" w:line="276" w:lineRule="auto"/>
        <w:jc w:val="both"/>
        <w:rPr>
          <w:rFonts w:ascii="David" w:eastAsia="Times New Roman" w:hAnsi="David" w:cs="David"/>
          <w:rtl/>
        </w:rPr>
      </w:pPr>
      <w:r w:rsidRPr="00A35E65">
        <w:rPr>
          <w:rFonts w:ascii="David" w:eastAsia="Times New Roman" w:hAnsi="David" w:cs="David"/>
          <w:color w:val="000000"/>
          <w:rtl/>
        </w:rPr>
        <w:t>באשר לב"כ הנאשמים ,</w:t>
      </w:r>
      <w:r w:rsidRPr="00A35E65">
        <w:rPr>
          <w:rFonts w:ascii="David" w:eastAsia="Times New Roman" w:hAnsi="David" w:cs="David"/>
          <w:b/>
          <w:bCs/>
          <w:color w:val="000000"/>
          <w:rtl/>
        </w:rPr>
        <w:t xml:space="preserve"> </w:t>
      </w:r>
      <w:r w:rsidRPr="00A35E65">
        <w:rPr>
          <w:rFonts w:ascii="David" w:eastAsia="Times New Roman" w:hAnsi="David" w:cs="David"/>
          <w:color w:val="000000"/>
          <w:rtl/>
        </w:rPr>
        <w:t>ש</w:t>
      </w:r>
      <w:r w:rsidRPr="00A35E65">
        <w:rPr>
          <w:rFonts w:ascii="David" w:eastAsia="Times New Roman" w:hAnsi="David" w:cs="David"/>
          <w:rtl/>
        </w:rPr>
        <w:t>לפי עדות רכזת קציני ביקור סדיר בקריית מלאכי, הגב' מ. א. (ע.ת.2</w:t>
      </w:r>
      <w:r w:rsidRPr="00A35E65">
        <w:rPr>
          <w:rFonts w:ascii="David" w:eastAsia="Times New Roman" w:hAnsi="David" w:cs="David"/>
          <w:color w:val="000000"/>
          <w:rtl/>
        </w:rPr>
        <w:t xml:space="preserve">)  התרה בה שלא תיצור קשר עם הנאשמים בענין הנדון וכי פניותיה אליהם מהוות הטרדה. בית המשפט מצר על התנהגות זו כלפי ע.ת.2. (ב"כ הנאשמים נמנע מלחקור בענין זה) . </w:t>
      </w:r>
      <w:r w:rsidRPr="00A35E65">
        <w:rPr>
          <w:rFonts w:ascii="David" w:eastAsia="Times New Roman" w:hAnsi="David" w:cs="David"/>
          <w:b/>
          <w:bCs/>
          <w:color w:val="000000"/>
          <w:rtl/>
        </w:rPr>
        <w:t xml:space="preserve">ע.ת 2 פעלה מתוקף תפקידה וחובתה כעובדת ציבור ולא היה מקום להתרות בה או לטעון כלפיה, שהיא מטרידה את הנאשמים עת פועלת במסגרת חובתה המקצועית. </w:t>
      </w:r>
      <w:r w:rsidRPr="00A35E65">
        <w:rPr>
          <w:rFonts w:ascii="David" w:eastAsia="Times New Roman" w:hAnsi="David" w:cs="David"/>
          <w:color w:val="000000"/>
          <w:rtl/>
        </w:rPr>
        <w:t xml:space="preserve">חזקת תקינות המנהל עומדת לעובדי הציבור. ככל שיש טענה אמיתית כי מי מהם חרג מתפקידו – מקומה להתברר במישור המשמעתי או בביהמ"ש. </w:t>
      </w:r>
    </w:p>
    <w:p w:rsidR="00A35E65" w:rsidRPr="00A35E65" w:rsidRDefault="00A35E65" w:rsidP="00A35E65">
      <w:pPr>
        <w:spacing w:after="0" w:line="276" w:lineRule="auto"/>
        <w:jc w:val="both"/>
        <w:rPr>
          <w:rFonts w:ascii="Arial" w:eastAsia="Times New Roman" w:hAnsi="Arial" w:cs="David"/>
          <w:rtl/>
        </w:rPr>
      </w:pPr>
    </w:p>
    <w:p w:rsidR="00A35E65" w:rsidRPr="00A35E65" w:rsidRDefault="00A35E65" w:rsidP="00A35E65">
      <w:pPr>
        <w:spacing w:after="0" w:line="276" w:lineRule="auto"/>
        <w:jc w:val="both"/>
        <w:rPr>
          <w:rFonts w:ascii="Arial" w:eastAsia="Times New Roman" w:hAnsi="Arial" w:cs="David"/>
          <w:rtl/>
        </w:rPr>
      </w:pPr>
      <w:r w:rsidRPr="00A35E65">
        <w:rPr>
          <w:rFonts w:ascii="Arial" w:eastAsia="Times New Roman" w:hAnsi="Arial" w:cs="David"/>
          <w:rtl/>
        </w:rPr>
        <w:t>לבסוף יוער, כי ביהמ"ש מקוה כי כעת הנאשמים-ההורים יפעלו על פי הדין וידאגו, שהקטין יגיע למסגרת החינוכית באופן סדיר ורציף,  הכל לטובת הקטין.</w:t>
      </w:r>
    </w:p>
    <w:p w:rsidR="00A35E65" w:rsidRPr="00A35E65" w:rsidRDefault="00A35E65" w:rsidP="00A35E65">
      <w:pPr>
        <w:spacing w:after="0" w:line="276" w:lineRule="auto"/>
        <w:jc w:val="both"/>
        <w:rPr>
          <w:rFonts w:ascii="Arial" w:eastAsia="Times New Roman" w:hAnsi="Arial" w:cs="David"/>
          <w:rtl/>
        </w:rPr>
      </w:pPr>
    </w:p>
    <w:p w:rsidR="00A35E65" w:rsidRPr="00A35E65" w:rsidRDefault="00A35E65" w:rsidP="00A35E65">
      <w:pPr>
        <w:spacing w:after="0" w:line="276" w:lineRule="auto"/>
        <w:jc w:val="both"/>
        <w:rPr>
          <w:rFonts w:ascii="Arial" w:eastAsia="Times New Roman" w:hAnsi="Arial" w:cs="David"/>
          <w:sz w:val="24"/>
          <w:szCs w:val="24"/>
          <w:rtl/>
        </w:rPr>
      </w:pPr>
      <w:r w:rsidRPr="00A35E65">
        <w:rPr>
          <w:rFonts w:ascii="Arial" w:eastAsia="Times New Roman" w:hAnsi="Arial" w:cs="David"/>
          <w:sz w:val="24"/>
          <w:szCs w:val="24"/>
          <w:rtl/>
        </w:rPr>
        <w:t>ניתנה ביום</w:t>
      </w:r>
      <w:r w:rsidRPr="00A35E65">
        <w:rPr>
          <w:rFonts w:ascii="Arial" w:eastAsia="Times New Roman" w:hAnsi="Arial" w:cs="David"/>
          <w:b/>
          <w:bCs/>
          <w:sz w:val="24"/>
          <w:szCs w:val="24"/>
          <w:rtl/>
        </w:rPr>
        <w:t xml:space="preserve">,  </w:t>
      </w:r>
      <w:sdt>
        <w:sdtPr>
          <w:rPr>
            <w:rFonts w:ascii="Times New Roman" w:eastAsia="Times New Roman" w:hAnsi="Times New Roman" w:cs="David"/>
            <w:noProof/>
            <w:sz w:val="24"/>
            <w:szCs w:val="24"/>
            <w:rtl/>
          </w:rPr>
          <w:alias w:val="1455"/>
          <w:tag w:val="1455"/>
          <w:id w:val="2014189688"/>
          <w:text w:multiLine="1"/>
        </w:sdtPr>
        <w:sdtEndPr/>
        <w:sdtContent>
          <w:r w:rsidRPr="00A35E65">
            <w:rPr>
              <w:rFonts w:ascii="Times New Roman" w:eastAsia="Times New Roman" w:hAnsi="Times New Roman" w:cs="David"/>
              <w:noProof/>
              <w:sz w:val="24"/>
              <w:szCs w:val="24"/>
              <w:rtl/>
            </w:rPr>
            <w:t>ח' תמוז תשפ"ד</w:t>
          </w:r>
        </w:sdtContent>
      </w:sdt>
      <w:r w:rsidRPr="00A35E65">
        <w:rPr>
          <w:rFonts w:ascii="Arial" w:eastAsia="Times New Roman" w:hAnsi="Arial" w:cs="David"/>
          <w:b/>
          <w:bCs/>
          <w:sz w:val="24"/>
          <w:szCs w:val="24"/>
          <w:rtl/>
        </w:rPr>
        <w:t xml:space="preserve">, </w:t>
      </w:r>
      <w:sdt>
        <w:sdtPr>
          <w:rPr>
            <w:rFonts w:ascii="Times New Roman" w:eastAsia="Times New Roman" w:hAnsi="Times New Roman" w:cs="David"/>
            <w:noProof/>
            <w:sz w:val="24"/>
            <w:szCs w:val="24"/>
            <w:rtl/>
          </w:rPr>
          <w:alias w:val="1456"/>
          <w:tag w:val="1456"/>
          <w:id w:val="115807586"/>
          <w:text w:multiLine="1"/>
        </w:sdtPr>
        <w:sdtEndPr/>
        <w:sdtContent>
          <w:r w:rsidRPr="00A35E65">
            <w:rPr>
              <w:rFonts w:ascii="Times New Roman" w:eastAsia="Times New Roman" w:hAnsi="Times New Roman" w:cs="David"/>
              <w:noProof/>
              <w:sz w:val="24"/>
              <w:szCs w:val="24"/>
              <w:rtl/>
            </w:rPr>
            <w:t>14 יולי  2024 במעמד הצדדים</w:t>
          </w:r>
        </w:sdtContent>
      </w:sdt>
    </w:p>
    <w:p w:rsidR="00A35E65" w:rsidRPr="00A35E65" w:rsidRDefault="00A35E65" w:rsidP="00A35E65">
      <w:pPr>
        <w:spacing w:after="0" w:line="276" w:lineRule="auto"/>
        <w:ind w:left="4320" w:firstLine="720"/>
        <w:jc w:val="both"/>
        <w:rPr>
          <w:rFonts w:ascii="Arial" w:eastAsia="Times New Roman" w:hAnsi="Arial" w:cs="David"/>
          <w:rtl/>
        </w:rPr>
      </w:pPr>
      <w:r w:rsidRPr="00A35E65">
        <w:rPr>
          <w:rFonts w:ascii="Arial" w:eastAsia="Times New Roman" w:hAnsi="Arial" w:cs="David"/>
          <w:b/>
          <w:bCs/>
          <w:sz w:val="24"/>
          <w:szCs w:val="24"/>
          <w:rtl/>
        </w:rPr>
        <w:t xml:space="preserve"> </w:t>
      </w:r>
      <w:sdt>
        <w:sdtPr>
          <w:rPr>
            <w:rFonts w:ascii="Times New Roman" w:eastAsia="Times New Roman" w:hAnsi="Times New Roman" w:cs="David"/>
            <w:noProof/>
            <w:sz w:val="24"/>
            <w:szCs w:val="24"/>
            <w:rtl/>
          </w:rPr>
          <w:alias w:val="MergeField"/>
          <w:tag w:val="1237"/>
          <w:id w:val="1654335350"/>
        </w:sdtPr>
        <w:sdtEndPr/>
        <w:sdtContent>
          <w:r w:rsidRPr="00A35E65">
            <w:rPr>
              <w:rFonts w:ascii="Times New Roman" w:eastAsia="Times New Roman" w:hAnsi="Times New Roman" w:cs="David"/>
              <w:noProof/>
              <w:sz w:val="26"/>
              <w:szCs w:val="26"/>
            </w:rPr>
            <w:drawing>
              <wp:inline distT="0" distB="0" distL="0" distR="0" wp14:anchorId="433BBC3E" wp14:editId="0EA2EB1C">
                <wp:extent cx="1276350" cy="342900"/>
                <wp:effectExtent l="0" t="0" r="0" b="0"/>
                <wp:docPr id="1"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6350" cy="342900"/>
                        </a:xfrm>
                        <a:prstGeom prst="rect">
                          <a:avLst/>
                        </a:prstGeom>
                        <a:noFill/>
                        <a:ln>
                          <a:noFill/>
                        </a:ln>
                      </pic:spPr>
                    </pic:pic>
                  </a:graphicData>
                </a:graphic>
              </wp:inline>
            </w:drawing>
          </w:r>
        </w:sdtContent>
      </w:sdt>
    </w:p>
    <w:p w:rsidR="00A35E65" w:rsidRPr="00A35E65" w:rsidRDefault="00A35E65" w:rsidP="00A35E65">
      <w:pPr>
        <w:spacing w:after="0" w:line="360" w:lineRule="auto"/>
        <w:jc w:val="both"/>
        <w:rPr>
          <w:rFonts w:ascii="Arial" w:eastAsia="Times New Roman" w:hAnsi="Arial" w:cs="David"/>
          <w:b/>
          <w:bCs/>
          <w:rtl/>
        </w:rPr>
      </w:pPr>
      <w:r w:rsidRPr="00A35E65">
        <w:rPr>
          <w:rFonts w:ascii="Arial" w:eastAsia="Times New Roman" w:hAnsi="Arial" w:cs="David"/>
          <w:b/>
          <w:bCs/>
          <w:rtl/>
        </w:rPr>
        <w:t>מותר לפרסום ללא פרטים מזהים, בשינוי נוסח הגהה בלבד.</w:t>
      </w:r>
    </w:p>
    <w:p w:rsidR="00A35E65" w:rsidRPr="00A35E65" w:rsidRDefault="00A35E65" w:rsidP="00A35E65">
      <w:pPr>
        <w:spacing w:after="0" w:line="360" w:lineRule="auto"/>
        <w:jc w:val="both"/>
        <w:rPr>
          <w:rFonts w:ascii="Arial" w:eastAsia="Times New Roman" w:hAnsi="Arial" w:cs="David"/>
          <w:sz w:val="24"/>
          <w:szCs w:val="24"/>
          <w:rtl/>
        </w:rPr>
      </w:pPr>
    </w:p>
    <w:p w:rsidR="006A051A" w:rsidRPr="00A35E65" w:rsidRDefault="006A051A">
      <w:pPr>
        <w:rPr>
          <w:sz w:val="24"/>
          <w:szCs w:val="24"/>
        </w:rPr>
      </w:pPr>
    </w:p>
    <w:sectPr w:rsidR="006A051A" w:rsidRPr="00A35E65" w:rsidSect="00A5269C">
      <w:headerReference w:type="default" r:id="rId3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931" w:rsidRDefault="00823931" w:rsidP="00A35E65">
      <w:pPr>
        <w:spacing w:after="0" w:line="240" w:lineRule="auto"/>
      </w:pPr>
      <w:r>
        <w:separator/>
      </w:r>
    </w:p>
  </w:endnote>
  <w:endnote w:type="continuationSeparator" w:id="0">
    <w:p w:rsidR="00823931" w:rsidRDefault="00823931" w:rsidP="00A35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 New Roman">
    <w:panose1 w:val="00000000000000000000"/>
    <w:charset w:val="00"/>
    <w:family w:val="roman"/>
    <w:notTrueType/>
    <w:pitch w:val="default"/>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931" w:rsidRDefault="00823931" w:rsidP="00A35E65">
      <w:pPr>
        <w:spacing w:after="0" w:line="240" w:lineRule="auto"/>
      </w:pPr>
      <w:r>
        <w:separator/>
      </w:r>
    </w:p>
  </w:footnote>
  <w:footnote w:type="continuationSeparator" w:id="0">
    <w:p w:rsidR="00823931" w:rsidRDefault="00823931" w:rsidP="00A35E65">
      <w:pPr>
        <w:spacing w:after="0" w:line="240" w:lineRule="auto"/>
      </w:pPr>
      <w:r>
        <w:continuationSeparator/>
      </w:r>
    </w:p>
  </w:footnote>
  <w:footnote w:id="1">
    <w:p w:rsidR="00A35E65" w:rsidRDefault="00A35E65" w:rsidP="00A35E65">
      <w:pPr>
        <w:spacing w:before="240" w:line="360" w:lineRule="auto"/>
        <w:jc w:val="both"/>
        <w:rPr>
          <w:rFonts w:ascii="David" w:hAnsi="David" w:cs="Arial"/>
          <w:noProof/>
          <w:sz w:val="20"/>
          <w:szCs w:val="20"/>
          <w:rtl/>
        </w:rPr>
      </w:pPr>
      <w:r>
        <w:rPr>
          <w:rStyle w:val="a8"/>
          <w:sz w:val="20"/>
          <w:szCs w:val="20"/>
        </w:rPr>
        <w:footnoteRef/>
      </w:r>
      <w:r>
        <w:rPr>
          <w:sz w:val="20"/>
          <w:szCs w:val="20"/>
          <w:rtl/>
        </w:rPr>
        <w:t xml:space="preserve"> </w:t>
      </w:r>
      <w:r>
        <w:rPr>
          <w:rFonts w:ascii="David" w:hAnsi="David"/>
          <w:sz w:val="20"/>
          <w:szCs w:val="20"/>
          <w:rtl/>
        </w:rPr>
        <w:t xml:space="preserve">ב"כ הנאשמים טען כי מטרת הבאת העדה ללמד מצב מערכת  החינוך מתוך ניסיונה בליווי עשרות משפחות שנמצאות במצב של פער אידאולוגי, אמוני, בעניינים שונים הנוגעים המערכת, באופן בו יוכל ביהמ"ש להשליך על פרשנות העבירה בעניינינו (28-29, עמוד 22  לפרוטוקול). </w:t>
      </w:r>
    </w:p>
    <w:p w:rsidR="00A35E65" w:rsidRDefault="00A35E65" w:rsidP="00A35E65">
      <w:pPr>
        <w:spacing w:before="240" w:line="360" w:lineRule="auto"/>
        <w:jc w:val="both"/>
        <w:rPr>
          <w:rFonts w:ascii="Times New Roman" w:hAnsi="Times New Roman" w:cs="David"/>
          <w:sz w:val="20"/>
          <w:szCs w:val="20"/>
          <w:rtl/>
        </w:rPr>
      </w:pPr>
    </w:p>
    <w:p w:rsidR="00A35E65" w:rsidRDefault="00A35E65" w:rsidP="00A35E65">
      <w:pPr>
        <w:spacing w:before="240" w:line="360" w:lineRule="auto"/>
        <w:jc w:val="both"/>
        <w:rPr>
          <w:rFonts w:ascii="David" w:hAnsi="David"/>
          <w:sz w:val="20"/>
          <w:szCs w:val="20"/>
        </w:rPr>
      </w:pPr>
    </w:p>
    <w:p w:rsidR="00A35E65" w:rsidRDefault="00A35E65" w:rsidP="00A35E65">
      <w:pPr>
        <w:pStyle w:val="a5"/>
        <w:rPr>
          <w:rtl/>
        </w:rPr>
      </w:pPr>
    </w:p>
  </w:footnote>
  <w:footnote w:id="2">
    <w:p w:rsidR="00A35E65" w:rsidRDefault="00A35E65" w:rsidP="00A35E65">
      <w:pPr>
        <w:pStyle w:val="a5"/>
        <w:rPr>
          <w:rtl/>
        </w:rPr>
      </w:pPr>
      <w:r>
        <w:rPr>
          <w:rStyle w:val="a8"/>
          <w:sz w:val="18"/>
          <w:szCs w:val="18"/>
        </w:rPr>
        <w:footnoteRef/>
      </w:r>
      <w:r>
        <w:rPr>
          <w:rtl/>
        </w:rPr>
        <w:t xml:space="preserve"> </w:t>
      </w:r>
      <w:r>
        <w:rPr>
          <w:rFonts w:ascii="David" w:hAnsi="David"/>
          <w:noProof w:val="0"/>
          <w:rtl/>
        </w:rPr>
        <w:t>לא ברור היכן פורסמה הכתבה.</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792"/>
    </w:tblGrid>
    <w:tr w:rsidR="00B10027" w:rsidRPr="00B10027" w:rsidTr="00B10027">
      <w:trPr>
        <w:trHeight w:val="337"/>
        <w:jc w:val="center"/>
      </w:trPr>
      <w:tc>
        <w:tcPr>
          <w:tcW w:w="4792" w:type="dxa"/>
        </w:tcPr>
        <w:p w:rsidR="00B10027" w:rsidRPr="00B10027" w:rsidRDefault="00B10027" w:rsidP="00B10027">
          <w:pPr>
            <w:spacing w:after="0" w:line="240" w:lineRule="auto"/>
            <w:rPr>
              <w:rFonts w:ascii="Times New Roman" w:eastAsia="Times New Roman" w:hAnsi="Times New Roman" w:cs="David"/>
              <w:sz w:val="26"/>
              <w:szCs w:val="26"/>
            </w:rPr>
          </w:pPr>
          <w:r>
            <w:rPr>
              <w:rFonts w:ascii="Times New Roman" w:eastAsia="Times New Roman" w:hAnsi="Times New Roman" w:cs="David" w:hint="cs"/>
              <w:b/>
              <w:bCs/>
              <w:sz w:val="26"/>
              <w:szCs w:val="26"/>
              <w:rtl/>
            </w:rPr>
            <w:t xml:space="preserve">   </w:t>
          </w:r>
          <w:r w:rsidRPr="00B10027">
            <w:rPr>
              <w:rFonts w:ascii="Times New Roman" w:eastAsia="Times New Roman" w:hAnsi="Times New Roman" w:cs="David" w:hint="cs"/>
              <w:sz w:val="26"/>
              <w:szCs w:val="26"/>
              <w:rtl/>
            </w:rPr>
            <w:t xml:space="preserve">בבית המשפט השלום בקריית גת </w:t>
          </w:r>
        </w:p>
      </w:tc>
    </w:tr>
  </w:tbl>
  <w:p w:rsidR="00B10027" w:rsidRPr="00B10027" w:rsidRDefault="00B1002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63038E"/>
    <w:multiLevelType w:val="hybridMultilevel"/>
    <w:tmpl w:val="1960EFA6"/>
    <w:lvl w:ilvl="0" w:tplc="E51AD138">
      <w:start w:val="1"/>
      <w:numFmt w:val="bullet"/>
      <w:pStyle w:val="a"/>
      <w:lvlText w:val="ת"/>
      <w:lvlJc w:val="left"/>
      <w:pPr>
        <w:tabs>
          <w:tab w:val="num" w:pos="720"/>
        </w:tabs>
        <w:ind w:left="720"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40D5B0E"/>
    <w:multiLevelType w:val="hybridMultilevel"/>
    <w:tmpl w:val="EAAC6AD0"/>
    <w:lvl w:ilvl="0" w:tplc="94D42D1C">
      <w:start w:val="1"/>
      <w:numFmt w:val="bullet"/>
      <w:pStyle w:val="a0"/>
      <w:lvlText w:val="ש"/>
      <w:lvlJc w:val="left"/>
      <w:pPr>
        <w:tabs>
          <w:tab w:val="num" w:pos="720"/>
        </w:tabs>
        <w:ind w:left="720" w:hanging="72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0EE"/>
    <w:rsid w:val="003A4F71"/>
    <w:rsid w:val="006A051A"/>
    <w:rsid w:val="00823931"/>
    <w:rsid w:val="00853388"/>
    <w:rsid w:val="009A44D7"/>
    <w:rsid w:val="00A35E65"/>
    <w:rsid w:val="00A5269C"/>
    <w:rsid w:val="00AB2E2D"/>
    <w:rsid w:val="00B10027"/>
    <w:rsid w:val="00B548B0"/>
    <w:rsid w:val="00E938FF"/>
    <w:rsid w:val="00EF50EE"/>
    <w:rsid w:val="00F159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BD2083-4B07-4D07-A0A9-6654B843F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bidi/>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unhideWhenUsed/>
    <w:rsid w:val="00A35E65"/>
    <w:pPr>
      <w:spacing w:after="0" w:line="240" w:lineRule="auto"/>
    </w:pPr>
    <w:rPr>
      <w:rFonts w:ascii="Times New Roman" w:eastAsia="Times New Roman" w:hAnsi="Times New Roman" w:cs="David"/>
      <w:noProof/>
      <w:sz w:val="20"/>
      <w:szCs w:val="20"/>
    </w:rPr>
  </w:style>
  <w:style w:type="character" w:customStyle="1" w:styleId="a6">
    <w:name w:val="טקסט הערת שוליים תו"/>
    <w:basedOn w:val="a2"/>
    <w:link w:val="a5"/>
    <w:semiHidden/>
    <w:rsid w:val="00A35E65"/>
    <w:rPr>
      <w:rFonts w:ascii="Times New Roman" w:eastAsia="Times New Roman" w:hAnsi="Times New Roman" w:cs="David"/>
      <w:noProof/>
      <w:sz w:val="20"/>
      <w:szCs w:val="20"/>
    </w:rPr>
  </w:style>
  <w:style w:type="paragraph" w:customStyle="1" w:styleId="a">
    <w:name w:val="תשובה"/>
    <w:basedOn w:val="a1"/>
    <w:rsid w:val="00A35E65"/>
    <w:pPr>
      <w:numPr>
        <w:numId w:val="1"/>
      </w:numPr>
      <w:spacing w:line="252" w:lineRule="auto"/>
      <w:ind w:left="0" w:firstLine="0"/>
    </w:pPr>
    <w:rPr>
      <w:rFonts w:ascii="Calibri" w:eastAsia="Calibri" w:hAnsi="Calibri" w:cs="Arial"/>
    </w:rPr>
  </w:style>
  <w:style w:type="paragraph" w:customStyle="1" w:styleId="a0">
    <w:name w:val="שאלה"/>
    <w:basedOn w:val="a1"/>
    <w:next w:val="a"/>
    <w:rsid w:val="00A35E65"/>
    <w:pPr>
      <w:numPr>
        <w:numId w:val="3"/>
      </w:numPr>
      <w:snapToGrid w:val="0"/>
      <w:spacing w:after="0" w:line="360" w:lineRule="auto"/>
      <w:jc w:val="both"/>
    </w:pPr>
    <w:rPr>
      <w:rFonts w:ascii="Arial" w:eastAsia="Times New Roman" w:hAnsi="Arial" w:cs="David"/>
      <w:b/>
      <w:bCs/>
      <w:sz w:val="28"/>
      <w:szCs w:val="26"/>
      <w:lang w:eastAsia="he-IL"/>
    </w:rPr>
  </w:style>
  <w:style w:type="table" w:styleId="a7">
    <w:name w:val="Table Grid"/>
    <w:basedOn w:val="a3"/>
    <w:rsid w:val="00A35E6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רשת טבלה1"/>
    <w:basedOn w:val="a3"/>
    <w:rsid w:val="00A35E6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basedOn w:val="a2"/>
    <w:uiPriority w:val="99"/>
    <w:semiHidden/>
    <w:unhideWhenUsed/>
    <w:rsid w:val="00A35E65"/>
  </w:style>
  <w:style w:type="paragraph" w:styleId="a9">
    <w:name w:val="header"/>
    <w:basedOn w:val="a1"/>
    <w:link w:val="aa"/>
    <w:uiPriority w:val="99"/>
    <w:unhideWhenUsed/>
    <w:rsid w:val="00B10027"/>
    <w:pPr>
      <w:tabs>
        <w:tab w:val="center" w:pos="4153"/>
        <w:tab w:val="right" w:pos="8306"/>
      </w:tabs>
      <w:spacing w:after="0" w:line="240" w:lineRule="auto"/>
    </w:pPr>
  </w:style>
  <w:style w:type="character" w:customStyle="1" w:styleId="aa">
    <w:name w:val="כותרת עליונה תו"/>
    <w:basedOn w:val="a2"/>
    <w:link w:val="a9"/>
    <w:uiPriority w:val="99"/>
    <w:rsid w:val="00B10027"/>
  </w:style>
  <w:style w:type="paragraph" w:styleId="ab">
    <w:name w:val="footer"/>
    <w:basedOn w:val="a1"/>
    <w:link w:val="ac"/>
    <w:uiPriority w:val="99"/>
    <w:unhideWhenUsed/>
    <w:rsid w:val="00B10027"/>
    <w:pPr>
      <w:tabs>
        <w:tab w:val="center" w:pos="4153"/>
        <w:tab w:val="right" w:pos="8306"/>
      </w:tabs>
      <w:spacing w:after="0" w:line="240" w:lineRule="auto"/>
    </w:pPr>
  </w:style>
  <w:style w:type="character" w:customStyle="1" w:styleId="ac">
    <w:name w:val="כותרת תחתונה תו"/>
    <w:basedOn w:val="a2"/>
    <w:link w:val="ab"/>
    <w:uiPriority w:val="99"/>
    <w:rsid w:val="00B10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401015">
      <w:bodyDiv w:val="1"/>
      <w:marLeft w:val="0"/>
      <w:marRight w:val="0"/>
      <w:marTop w:val="0"/>
      <w:marBottom w:val="0"/>
      <w:divBdr>
        <w:top w:val="none" w:sz="0" w:space="0" w:color="auto"/>
        <w:left w:val="none" w:sz="0" w:space="0" w:color="auto"/>
        <w:bottom w:val="none" w:sz="0" w:space="0" w:color="auto"/>
        <w:right w:val="none" w:sz="0" w:space="0" w:color="auto"/>
      </w:divBdr>
    </w:div>
    <w:div w:id="199139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evo.co.il/psika_html/elyon/15048680-e01.htm" TargetMode="External"/><Relationship Id="rId18" Type="http://schemas.openxmlformats.org/officeDocument/2006/relationships/hyperlink" Target="https://www.nevo.co.il/psika_html/elyon/17047160-Z12.htm" TargetMode="External"/><Relationship Id="rId26" Type="http://schemas.openxmlformats.org/officeDocument/2006/relationships/hyperlink" Target="http://www.nevo.co.il/law/71978" TargetMode="External"/><Relationship Id="rId39" Type="http://schemas.openxmlformats.org/officeDocument/2006/relationships/glossaryDocument" Target="glossary/document.xml"/><Relationship Id="rId21" Type="http://schemas.openxmlformats.org/officeDocument/2006/relationships/hyperlink" Target="http://www.nevo.co.il/case/21495393" TargetMode="External"/><Relationship Id="rId34" Type="http://schemas.openxmlformats.org/officeDocument/2006/relationships/hyperlink" Target="https://www.nevo.co.il/search/Highlighter2.aspx?id=3f374a61-20e6-41d6-b938-f8ace8151e3a" TargetMode="External"/><Relationship Id="rId7" Type="http://schemas.openxmlformats.org/officeDocument/2006/relationships/hyperlink" Target="https://www.nevo.co.il/psika_html/elyon/05026600-r05.htm" TargetMode="External"/><Relationship Id="rId12" Type="http://schemas.openxmlformats.org/officeDocument/2006/relationships/hyperlink" Target="https://www.nevo.co.il/psika_html/elyon/07090550-k04-e.htm" TargetMode="External"/><Relationship Id="rId17" Type="http://schemas.openxmlformats.org/officeDocument/2006/relationships/hyperlink" Target="https://www.nevo.co.il/search/Highlighter2.aspx?id=35221153-85f9-41d5-813c-1a3e100d7680" TargetMode="External"/><Relationship Id="rId25" Type="http://schemas.openxmlformats.org/officeDocument/2006/relationships/hyperlink" Target="http://www.nevo.co.il/law/71830" TargetMode="External"/><Relationship Id="rId33" Type="http://schemas.openxmlformats.org/officeDocument/2006/relationships/hyperlink" Target="https://www.nevo.co.il/psika_html/elyon/20084710-J09.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evo.co.il/search/Highlighter2.aspx?id=946726dc-e1a2-49fe-ac73-7c320044cf60" TargetMode="External"/><Relationship Id="rId20" Type="http://schemas.openxmlformats.org/officeDocument/2006/relationships/hyperlink" Target="https://www.nevo.co.il/search/Highlighter2.aspx?id=171a3980-7e44-4b43-becb-6d671a0da0b6" TargetMode="External"/><Relationship Id="rId29" Type="http://schemas.openxmlformats.org/officeDocument/2006/relationships/hyperlink" Target="http://www.nevo.co.il/law/40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vo.co.il/law_html/law01/152_004.htm" TargetMode="External"/><Relationship Id="rId24" Type="http://schemas.openxmlformats.org/officeDocument/2006/relationships/hyperlink" Target="http://www.nevo.co.il/law/71965" TargetMode="External"/><Relationship Id="rId32" Type="http://schemas.openxmlformats.org/officeDocument/2006/relationships/hyperlink" Target="https://www.nevo.co.il/psika_html/elyon/08010670-o24.ht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evo.co.il/psika_html/elyon/17042910-B03.htm" TargetMode="External"/><Relationship Id="rId23" Type="http://schemas.openxmlformats.org/officeDocument/2006/relationships/hyperlink" Target="https://www.nevo.co.il/psika_word/elyon/07048050-r28.pdf" TargetMode="External"/><Relationship Id="rId28" Type="http://schemas.openxmlformats.org/officeDocument/2006/relationships/hyperlink" Target="http://www.nevo.co.il/law/71983" TargetMode="External"/><Relationship Id="rId36" Type="http://schemas.openxmlformats.org/officeDocument/2006/relationships/image" Target="media/image1.jpeg"/><Relationship Id="rId10" Type="http://schemas.openxmlformats.org/officeDocument/2006/relationships/hyperlink" Target="https://www.nevo.co.il/laws/" TargetMode="External"/><Relationship Id="rId19" Type="http://schemas.openxmlformats.org/officeDocument/2006/relationships/hyperlink" Target="https://www.nevo.co.il/psika_html/elyon/padi-nh-1-221-l.htm" TargetMode="External"/><Relationship Id="rId31" Type="http://schemas.openxmlformats.org/officeDocument/2006/relationships/hyperlink" Target="https://www.nevo.co.il/law_html/law01/133m1_001.htm" TargetMode="External"/><Relationship Id="rId4" Type="http://schemas.openxmlformats.org/officeDocument/2006/relationships/webSettings" Target="webSettings.xml"/><Relationship Id="rId9" Type="http://schemas.openxmlformats.org/officeDocument/2006/relationships/hyperlink" Target="https://www.nevo.co.il/psika_html/elyon/padi-nh-1-221-l.htm" TargetMode="External"/><Relationship Id="rId14" Type="http://schemas.openxmlformats.org/officeDocument/2006/relationships/hyperlink" Target="https://www.nevo.co.il/search/Highlighter2.aspx?id=15b4f874-5468-422f-b811-d04eeb3823bb" TargetMode="External"/><Relationship Id="rId22" Type="http://schemas.openxmlformats.org/officeDocument/2006/relationships/hyperlink" Target="http://www.nevo.co.il/case/20486289" TargetMode="External"/><Relationship Id="rId27" Type="http://schemas.openxmlformats.org/officeDocument/2006/relationships/hyperlink" Target="http://www.nevo.co.il/law/71989" TargetMode="External"/><Relationship Id="rId30" Type="http://schemas.openxmlformats.org/officeDocument/2006/relationships/hyperlink" Target="https://www.nevo.co.il/search/Highlighter2.aspx?id=a9b0e124-be61-4659-9f58-b775f9ef9f00" TargetMode="External"/><Relationship Id="rId35" Type="http://schemas.openxmlformats.org/officeDocument/2006/relationships/hyperlink" Target="https://www.nevo.co.il/psika_html/elyon/08074260-r23.htm" TargetMode="External"/><Relationship Id="rId8" Type="http://schemas.openxmlformats.org/officeDocument/2006/relationships/hyperlink" Target="https://www.nevo.co.il/search/Highlighter2.aspx?id=f7618a5a-75e1-412f-ad41-c6b555c524b7" TargetMode="External"/><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5DD1828DDA7482AAF58D691A6814C63"/>
        <w:category>
          <w:name w:val="כללי"/>
          <w:gallery w:val="placeholder"/>
        </w:category>
        <w:types>
          <w:type w:val="bbPlcHdr"/>
        </w:types>
        <w:behaviors>
          <w:behavior w:val="content"/>
        </w:behaviors>
        <w:guid w:val="{4877BA53-BCB2-4A2E-AB7D-F41DBA9196A9}"/>
      </w:docPartPr>
      <w:docPartBody>
        <w:p w:rsidR="00AF0569" w:rsidRDefault="00C82775" w:rsidP="00C82775">
          <w:pPr>
            <w:pStyle w:val="45DD1828DDA7482AAF58D691A6814C63"/>
          </w:pPr>
          <w:r>
            <w:rPr>
              <w:rFonts w:ascii="Arial" w:hAnsi="Arial"/>
              <w:b/>
              <w:bCs/>
              <w:sz w:val="26"/>
              <w:szCs w:val="26"/>
              <w:rtl/>
            </w:rPr>
            <w:t>שם צד א' ללא שם של חסוי</w:t>
          </w:r>
        </w:p>
      </w:docPartBody>
    </w:docPart>
    <w:docPart>
      <w:docPartPr>
        <w:name w:val="BC67F1E58380472483F0D8FE5FE4F0CA"/>
        <w:category>
          <w:name w:val="כללי"/>
          <w:gallery w:val="placeholder"/>
        </w:category>
        <w:types>
          <w:type w:val="bbPlcHdr"/>
        </w:types>
        <w:behaviors>
          <w:behavior w:val="content"/>
        </w:behaviors>
        <w:guid w:val="{6CC6F964-1B73-4EA3-AAA9-BD53FB4A9F14}"/>
      </w:docPartPr>
      <w:docPartBody>
        <w:p w:rsidR="00AF0569" w:rsidRDefault="00C82775" w:rsidP="00C82775">
          <w:pPr>
            <w:pStyle w:val="BC67F1E58380472483F0D8FE5FE4F0CA"/>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 New Roman">
    <w:panose1 w:val="00000000000000000000"/>
    <w:charset w:val="00"/>
    <w:family w:val="roman"/>
    <w:notTrueType/>
    <w:pitch w:val="default"/>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775"/>
    <w:rsid w:val="009B65D5"/>
    <w:rsid w:val="00AF0569"/>
    <w:rsid w:val="00C82775"/>
    <w:rsid w:val="00DF5A6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5DD1828DDA7482AAF58D691A6814C63">
    <w:name w:val="45DD1828DDA7482AAF58D691A6814C63"/>
    <w:rsid w:val="00C82775"/>
    <w:pPr>
      <w:bidi/>
    </w:pPr>
  </w:style>
  <w:style w:type="paragraph" w:customStyle="1" w:styleId="BC67F1E58380472483F0D8FE5FE4F0CA">
    <w:name w:val="BC67F1E58380472483F0D8FE5FE4F0CA"/>
    <w:rsid w:val="00C82775"/>
    <w:pPr>
      <w:bidi/>
    </w:pPr>
  </w:style>
  <w:style w:type="paragraph" w:customStyle="1" w:styleId="7333C4D0FFB24A23AEE6E668B9FBC4CD">
    <w:name w:val="7333C4D0FFB24A23AEE6E668B9FBC4CD"/>
    <w:rsid w:val="00C8277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9098</Words>
  <Characters>45493</Characters>
  <Application>Microsoft Office Word</Application>
  <DocSecurity>0</DocSecurity>
  <Lines>379</Lines>
  <Paragraphs>108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רבקה שורץ</dc:creator>
  <cp:keywords/>
  <dc:description/>
  <cp:lastModifiedBy>אסתר טטרואשילי</cp:lastModifiedBy>
  <cp:revision>2</cp:revision>
  <dcterms:created xsi:type="dcterms:W3CDTF">2024-09-01T06:29:00Z</dcterms:created>
  <dcterms:modified xsi:type="dcterms:W3CDTF">2024-09-01T06:29:00Z</dcterms:modified>
</cp:coreProperties>
</file>